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1715F" w14:textId="062BACBC" w:rsidR="00A02AE7" w:rsidRPr="00247226" w:rsidRDefault="000F2765" w:rsidP="003A78C2">
      <w:bookmarkStart w:id="0" w:name="_GoBack"/>
      <w:bookmarkEnd w:id="0"/>
      <w:r w:rsidRPr="00247226">
        <w:tab/>
      </w:r>
    </w:p>
    <w:p w14:paraId="23872C92" w14:textId="77777777" w:rsidR="00A02AE7" w:rsidRPr="00247226" w:rsidRDefault="00A02AE7" w:rsidP="003A78C2"/>
    <w:p w14:paraId="13C59577" w14:textId="77777777" w:rsidR="00A02AE7" w:rsidRPr="00247226" w:rsidRDefault="00A02AE7" w:rsidP="003A78C2"/>
    <w:p w14:paraId="1E03A118" w14:textId="77777777" w:rsidR="00A02AE7" w:rsidRPr="00247226" w:rsidRDefault="00A02AE7" w:rsidP="003A78C2"/>
    <w:p w14:paraId="3CAE175D" w14:textId="77777777" w:rsidR="00454B1A" w:rsidRDefault="00454B1A" w:rsidP="00454B1A">
      <w:bookmarkStart w:id="1" w:name="_heading=h.gjdgxs" w:colFirst="0" w:colLast="0"/>
      <w:bookmarkEnd w:id="1"/>
    </w:p>
    <w:p w14:paraId="10543112" w14:textId="77777777" w:rsidR="005456ED" w:rsidRDefault="005456ED" w:rsidP="00454B1A"/>
    <w:p w14:paraId="0C47C54D" w14:textId="0ACEDAD7" w:rsidR="00A02AE7" w:rsidRPr="006B399F" w:rsidRDefault="00226054" w:rsidP="006B399F">
      <w:pPr>
        <w:rPr>
          <w:color w:val="5F295C"/>
          <w:sz w:val="40"/>
          <w:szCs w:val="40"/>
        </w:rPr>
      </w:pPr>
      <w:r w:rsidRPr="006B399F">
        <w:rPr>
          <w:color w:val="5F295C"/>
          <w:sz w:val="40"/>
          <w:szCs w:val="40"/>
        </w:rPr>
        <w:t>Open Enrollment 2025 Communications Toolkit</w:t>
      </w:r>
    </w:p>
    <w:p w14:paraId="26549A6C" w14:textId="635AA186" w:rsidR="00226054" w:rsidRPr="00454B1A" w:rsidRDefault="00226054" w:rsidP="003A78C2">
      <w:pPr>
        <w:rPr>
          <w:color w:val="90688C"/>
        </w:rPr>
      </w:pPr>
      <w:r w:rsidRPr="00454B1A">
        <w:rPr>
          <w:color w:val="90688C"/>
        </w:rPr>
        <w:t>August 2025</w:t>
      </w:r>
    </w:p>
    <w:p w14:paraId="17DA26EE" w14:textId="58349454" w:rsidR="00226054" w:rsidRPr="00226054" w:rsidRDefault="00226054" w:rsidP="00226054">
      <w:r>
        <w:t xml:space="preserve">As the open enrollment period for plan year 2026 approaches, health insurance </w:t>
      </w:r>
      <w:r w:rsidRPr="1EBE5589">
        <w:rPr>
          <w:rStyle w:val="normaltextrun"/>
          <w:rFonts w:cs="Arial"/>
        </w:rPr>
        <w:t>M</w:t>
      </w:r>
      <w:r>
        <w:t xml:space="preserve">arketplaces face a rapidly shifting policy environment. Three </w:t>
      </w:r>
      <w:hyperlink r:id="rId12">
        <w:r w:rsidRPr="1EBE5589">
          <w:rPr>
            <w:rStyle w:val="Hyperlink"/>
            <w:rFonts w:cs="Arial"/>
          </w:rPr>
          <w:t>major federal changes</w:t>
        </w:r>
      </w:hyperlink>
      <w:r>
        <w:t>–the 2025 Marketplace Integrity and Affordability Rule, the budget reconciliation law (H.R.1), and the scheduled expiration of enhanced premium tax credits–will significantly impact how millions of Americans access and afford health coverage.</w:t>
      </w:r>
    </w:p>
    <w:p w14:paraId="27143E39" w14:textId="0AE2F9D8" w:rsidR="00226054" w:rsidRPr="00C72F1B" w:rsidRDefault="00226054" w:rsidP="00226054">
      <w:pPr>
        <w:rPr>
          <w:rStyle w:val="normaltextrun"/>
          <w:rFonts w:cs="Arial"/>
        </w:rPr>
      </w:pPr>
      <w:r w:rsidRPr="00C72F1B">
        <w:rPr>
          <w:rStyle w:val="normaltextrun"/>
          <w:rFonts w:cs="Arial"/>
        </w:rPr>
        <w:t xml:space="preserve">These changes will influence the way Marketplaces engage with enrollees, community partners, and stakeholders. For many, that could mean confusion, </w:t>
      </w:r>
      <w:hyperlink r:id="rId13" w:history="1">
        <w:r w:rsidRPr="00632CFC">
          <w:rPr>
            <w:rStyle w:val="Hyperlink"/>
            <w:rFonts w:cs="Arial"/>
          </w:rPr>
          <w:t>loss of coverage</w:t>
        </w:r>
      </w:hyperlink>
      <w:r w:rsidRPr="00C72F1B">
        <w:rPr>
          <w:rStyle w:val="normaltextrun"/>
          <w:rFonts w:cs="Arial"/>
        </w:rPr>
        <w:t>, or increased financial strain–especially in communities that already face systemic barriers to coverage and care.</w:t>
      </w:r>
    </w:p>
    <w:p w14:paraId="4EA3C84E" w14:textId="77777777" w:rsidR="00226054" w:rsidRPr="00C72F1B" w:rsidRDefault="00226054" w:rsidP="00226054">
      <w:pPr>
        <w:rPr>
          <w:rStyle w:val="normaltextrun"/>
          <w:rFonts w:cs="Arial"/>
        </w:rPr>
      </w:pPr>
      <w:r w:rsidRPr="00C72F1B">
        <w:rPr>
          <w:rStyle w:val="normaltextrun"/>
          <w:rFonts w:cs="Arial"/>
        </w:rPr>
        <w:t>This toolkit is designed to help State-Based Marketplaces (SBMs):</w:t>
      </w:r>
    </w:p>
    <w:p w14:paraId="7C4829A1" w14:textId="77777777" w:rsidR="00226054" w:rsidRPr="00C72F1B" w:rsidRDefault="00226054" w:rsidP="00454B1A">
      <w:pPr>
        <w:pStyle w:val="ListParagraph"/>
        <w:numPr>
          <w:ilvl w:val="0"/>
          <w:numId w:val="13"/>
        </w:numPr>
        <w:rPr>
          <w:rStyle w:val="normaltextrun"/>
        </w:rPr>
      </w:pPr>
      <w:r w:rsidRPr="00C72F1B">
        <w:rPr>
          <w:rStyle w:val="normaltextrun"/>
        </w:rPr>
        <w:t>Maintain trust with enrollees and stakeholders.</w:t>
      </w:r>
    </w:p>
    <w:p w14:paraId="777208C2" w14:textId="77777777" w:rsidR="00226054" w:rsidRPr="00C72F1B" w:rsidRDefault="00226054" w:rsidP="00454B1A">
      <w:pPr>
        <w:pStyle w:val="ListParagraph"/>
        <w:numPr>
          <w:ilvl w:val="0"/>
          <w:numId w:val="13"/>
        </w:numPr>
        <w:rPr>
          <w:rStyle w:val="normaltextrun"/>
        </w:rPr>
      </w:pPr>
      <w:r w:rsidRPr="00C72F1B">
        <w:rPr>
          <w:rStyle w:val="normaltextrun"/>
        </w:rPr>
        <w:t>Communicate clearly and effectively.</w:t>
      </w:r>
    </w:p>
    <w:p w14:paraId="6CC703AB" w14:textId="77777777" w:rsidR="00226054" w:rsidRPr="00C72F1B" w:rsidRDefault="00226054" w:rsidP="00454B1A">
      <w:pPr>
        <w:pStyle w:val="ListParagraph"/>
        <w:numPr>
          <w:ilvl w:val="0"/>
          <w:numId w:val="13"/>
        </w:numPr>
        <w:rPr>
          <w:rStyle w:val="normaltextrun"/>
        </w:rPr>
      </w:pPr>
      <w:r w:rsidRPr="00C72F1B">
        <w:rPr>
          <w:rStyle w:val="normaltextrun"/>
        </w:rPr>
        <w:t>Prepare enrollees for upcoming changes.</w:t>
      </w:r>
    </w:p>
    <w:p w14:paraId="29E4A771" w14:textId="5CC2C06B" w:rsidR="00226054" w:rsidRPr="00C72F1B" w:rsidRDefault="49D12B3A" w:rsidP="00454B1A">
      <w:pPr>
        <w:pStyle w:val="ListParagraph"/>
        <w:rPr>
          <w:rStyle w:val="normaltextrun"/>
        </w:rPr>
      </w:pPr>
      <w:r w:rsidRPr="5A889279">
        <w:rPr>
          <w:rStyle w:val="normaltextrun"/>
        </w:rPr>
        <w:t xml:space="preserve">Help enrollees maintain coverage and </w:t>
      </w:r>
      <w:r w:rsidR="5AED6EBF" w:rsidRPr="5A889279">
        <w:rPr>
          <w:rStyle w:val="normaltextrun"/>
        </w:rPr>
        <w:t xml:space="preserve">access </w:t>
      </w:r>
      <w:r w:rsidRPr="5A889279">
        <w:rPr>
          <w:rStyle w:val="normaltextrun"/>
        </w:rPr>
        <w:t>care.</w:t>
      </w:r>
    </w:p>
    <w:p w14:paraId="43F85851" w14:textId="77777777" w:rsidR="00226054" w:rsidRDefault="00226054" w:rsidP="00226054">
      <w:pPr>
        <w:rPr>
          <w:rStyle w:val="normaltextrun"/>
          <w:rFonts w:cs="Arial"/>
        </w:rPr>
      </w:pPr>
      <w:r w:rsidRPr="00C72F1B">
        <w:rPr>
          <w:rStyle w:val="normaltextrun"/>
          <w:rFonts w:cs="Arial"/>
        </w:rPr>
        <w:t>This toolkit includes content that states can customize to reflect their voice and policy context. Whether SBMs are developing outreach materials, training Navigators, or briefing policymakers, this resource offers the language and tools to respond with clarity, empathy, and confidence.</w:t>
      </w:r>
    </w:p>
    <w:p w14:paraId="5AFC3E8A" w14:textId="77777777" w:rsidR="006B399F" w:rsidRPr="00C72F1B" w:rsidRDefault="006B399F" w:rsidP="00226054">
      <w:pPr>
        <w:rPr>
          <w:rStyle w:val="normaltextrun"/>
          <w:rFonts w:cs="Arial"/>
        </w:rPr>
      </w:pPr>
    </w:p>
    <w:sdt>
      <w:sdtPr>
        <w:rPr>
          <w:rFonts w:cstheme="minorBidi"/>
          <w:b/>
          <w:color w:val="5F295C"/>
          <w:sz w:val="28"/>
          <w:szCs w:val="28"/>
        </w:rPr>
        <w:id w:val="525218351"/>
        <w:docPartObj>
          <w:docPartGallery w:val="Table of Contents"/>
          <w:docPartUnique/>
        </w:docPartObj>
      </w:sdtPr>
      <w:sdtEndPr>
        <w:rPr>
          <w:color w:val="auto"/>
          <w:sz w:val="22"/>
          <w:szCs w:val="22"/>
        </w:rPr>
      </w:sdtEndPr>
      <w:sdtContent>
        <w:p w14:paraId="6F28EAC8" w14:textId="29AA91C6" w:rsidR="00F322DE" w:rsidRPr="002C02F5" w:rsidRDefault="00F322DE" w:rsidP="006B399F">
          <w:pPr>
            <w:rPr>
              <w:rFonts w:cstheme="minorHAnsi"/>
              <w:b/>
              <w:bCs/>
              <w:color w:val="5F295C"/>
              <w:sz w:val="28"/>
              <w:szCs w:val="28"/>
            </w:rPr>
          </w:pPr>
          <w:r w:rsidRPr="002C02F5">
            <w:rPr>
              <w:rFonts w:cstheme="minorHAnsi"/>
              <w:b/>
              <w:bCs/>
              <w:color w:val="5F295C"/>
              <w:sz w:val="28"/>
              <w:szCs w:val="28"/>
            </w:rPr>
            <w:t>Table of Contents</w:t>
          </w:r>
        </w:p>
        <w:p w14:paraId="392D19BB" w14:textId="290F1819" w:rsidR="003827DC" w:rsidRDefault="00F322DE">
          <w:pPr>
            <w:pStyle w:val="TOC1"/>
            <w:tabs>
              <w:tab w:val="right" w:leader="dot" w:pos="10340"/>
            </w:tabs>
            <w:rPr>
              <w:rFonts w:eastAsiaTheme="minorEastAsia" w:cstheme="minorBidi"/>
              <w:bCs w:val="0"/>
              <w:iCs w:val="0"/>
              <w:noProof/>
              <w:kern w:val="2"/>
              <w:sz w:val="24"/>
              <w14:ligatures w14:val="standardContextual"/>
            </w:rPr>
          </w:pPr>
          <w:r>
            <w:rPr>
              <w:iCs w:val="0"/>
            </w:rPr>
            <w:fldChar w:fldCharType="begin"/>
          </w:r>
          <w:r>
            <w:rPr>
              <w:iCs w:val="0"/>
            </w:rPr>
            <w:instrText xml:space="preserve"> TOC \o "1-1" \h \z \u </w:instrText>
          </w:r>
          <w:r>
            <w:rPr>
              <w:iCs w:val="0"/>
            </w:rPr>
            <w:fldChar w:fldCharType="separate"/>
          </w:r>
          <w:hyperlink w:anchor="_Toc206084506" w:history="1">
            <w:r w:rsidR="003827DC" w:rsidRPr="00E02776">
              <w:rPr>
                <w:rStyle w:val="Hyperlink"/>
                <w:noProof/>
              </w:rPr>
              <w:t>Messages for Consumers</w:t>
            </w:r>
            <w:r w:rsidR="003827DC">
              <w:rPr>
                <w:noProof/>
                <w:webHidden/>
              </w:rPr>
              <w:tab/>
            </w:r>
            <w:r w:rsidR="003827DC">
              <w:rPr>
                <w:noProof/>
                <w:webHidden/>
              </w:rPr>
              <w:fldChar w:fldCharType="begin"/>
            </w:r>
            <w:r w:rsidR="003827DC">
              <w:rPr>
                <w:noProof/>
                <w:webHidden/>
              </w:rPr>
              <w:instrText xml:space="preserve"> PAGEREF _Toc206084506 \h </w:instrText>
            </w:r>
            <w:r w:rsidR="003827DC">
              <w:rPr>
                <w:noProof/>
                <w:webHidden/>
              </w:rPr>
            </w:r>
            <w:r w:rsidR="003827DC">
              <w:rPr>
                <w:noProof/>
                <w:webHidden/>
              </w:rPr>
              <w:fldChar w:fldCharType="separate"/>
            </w:r>
            <w:r w:rsidR="00672EB6">
              <w:rPr>
                <w:noProof/>
                <w:webHidden/>
              </w:rPr>
              <w:t>2</w:t>
            </w:r>
            <w:r w:rsidR="003827DC">
              <w:rPr>
                <w:noProof/>
                <w:webHidden/>
              </w:rPr>
              <w:fldChar w:fldCharType="end"/>
            </w:r>
          </w:hyperlink>
        </w:p>
        <w:p w14:paraId="1240EB7C" w14:textId="3559CC78" w:rsidR="003827DC" w:rsidRDefault="00B452DE">
          <w:pPr>
            <w:pStyle w:val="TOC1"/>
            <w:tabs>
              <w:tab w:val="right" w:leader="dot" w:pos="10340"/>
            </w:tabs>
            <w:rPr>
              <w:rFonts w:eastAsiaTheme="minorEastAsia" w:cstheme="minorBidi"/>
              <w:bCs w:val="0"/>
              <w:iCs w:val="0"/>
              <w:noProof/>
              <w:kern w:val="2"/>
              <w:sz w:val="24"/>
              <w14:ligatures w14:val="standardContextual"/>
            </w:rPr>
          </w:pPr>
          <w:hyperlink w:anchor="_Toc206084507" w:history="1">
            <w:r w:rsidR="003827DC" w:rsidRPr="00E02776">
              <w:rPr>
                <w:rStyle w:val="Hyperlink"/>
                <w:noProof/>
              </w:rPr>
              <w:t>Email Strategy and Template Messages</w:t>
            </w:r>
            <w:r w:rsidR="003827DC">
              <w:rPr>
                <w:noProof/>
                <w:webHidden/>
              </w:rPr>
              <w:tab/>
            </w:r>
            <w:r w:rsidR="003827DC">
              <w:rPr>
                <w:noProof/>
                <w:webHidden/>
              </w:rPr>
              <w:fldChar w:fldCharType="begin"/>
            </w:r>
            <w:r w:rsidR="003827DC">
              <w:rPr>
                <w:noProof/>
                <w:webHidden/>
              </w:rPr>
              <w:instrText xml:space="preserve"> PAGEREF _Toc206084507 \h </w:instrText>
            </w:r>
            <w:r w:rsidR="003827DC">
              <w:rPr>
                <w:noProof/>
                <w:webHidden/>
              </w:rPr>
            </w:r>
            <w:r w:rsidR="003827DC">
              <w:rPr>
                <w:noProof/>
                <w:webHidden/>
              </w:rPr>
              <w:fldChar w:fldCharType="separate"/>
            </w:r>
            <w:r w:rsidR="00672EB6">
              <w:rPr>
                <w:noProof/>
                <w:webHidden/>
              </w:rPr>
              <w:t>5</w:t>
            </w:r>
            <w:r w:rsidR="003827DC">
              <w:rPr>
                <w:noProof/>
                <w:webHidden/>
              </w:rPr>
              <w:fldChar w:fldCharType="end"/>
            </w:r>
          </w:hyperlink>
        </w:p>
        <w:p w14:paraId="5F96B1A3" w14:textId="0062A7F6" w:rsidR="003827DC" w:rsidRDefault="00B452DE">
          <w:pPr>
            <w:pStyle w:val="TOC1"/>
            <w:tabs>
              <w:tab w:val="right" w:leader="dot" w:pos="10340"/>
            </w:tabs>
            <w:rPr>
              <w:rFonts w:eastAsiaTheme="minorEastAsia" w:cstheme="minorBidi"/>
              <w:bCs w:val="0"/>
              <w:iCs w:val="0"/>
              <w:noProof/>
              <w:kern w:val="2"/>
              <w:sz w:val="24"/>
              <w14:ligatures w14:val="standardContextual"/>
            </w:rPr>
          </w:pPr>
          <w:hyperlink w:anchor="_Toc206084508" w:history="1">
            <w:r w:rsidR="003827DC" w:rsidRPr="00E02776">
              <w:rPr>
                <w:rStyle w:val="Hyperlink"/>
                <w:noProof/>
              </w:rPr>
              <w:t>SMS Strategy and Template Messages</w:t>
            </w:r>
            <w:r w:rsidR="003827DC">
              <w:rPr>
                <w:noProof/>
                <w:webHidden/>
              </w:rPr>
              <w:tab/>
            </w:r>
            <w:r w:rsidR="003827DC">
              <w:rPr>
                <w:noProof/>
                <w:webHidden/>
              </w:rPr>
              <w:fldChar w:fldCharType="begin"/>
            </w:r>
            <w:r w:rsidR="003827DC">
              <w:rPr>
                <w:noProof/>
                <w:webHidden/>
              </w:rPr>
              <w:instrText xml:space="preserve"> PAGEREF _Toc206084508 \h </w:instrText>
            </w:r>
            <w:r w:rsidR="003827DC">
              <w:rPr>
                <w:noProof/>
                <w:webHidden/>
              </w:rPr>
            </w:r>
            <w:r w:rsidR="003827DC">
              <w:rPr>
                <w:noProof/>
                <w:webHidden/>
              </w:rPr>
              <w:fldChar w:fldCharType="separate"/>
            </w:r>
            <w:r w:rsidR="00672EB6">
              <w:rPr>
                <w:noProof/>
                <w:webHidden/>
              </w:rPr>
              <w:t>8</w:t>
            </w:r>
            <w:r w:rsidR="003827DC">
              <w:rPr>
                <w:noProof/>
                <w:webHidden/>
              </w:rPr>
              <w:fldChar w:fldCharType="end"/>
            </w:r>
          </w:hyperlink>
        </w:p>
        <w:p w14:paraId="33299FE5" w14:textId="1E343005" w:rsidR="003827DC" w:rsidRDefault="00B452DE">
          <w:pPr>
            <w:pStyle w:val="TOC1"/>
            <w:tabs>
              <w:tab w:val="right" w:leader="dot" w:pos="10340"/>
            </w:tabs>
            <w:rPr>
              <w:rFonts w:eastAsiaTheme="minorEastAsia" w:cstheme="minorBidi"/>
              <w:bCs w:val="0"/>
              <w:iCs w:val="0"/>
              <w:noProof/>
              <w:kern w:val="2"/>
              <w:sz w:val="24"/>
              <w14:ligatures w14:val="standardContextual"/>
            </w:rPr>
          </w:pPr>
          <w:hyperlink w:anchor="_Toc206084509" w:history="1">
            <w:r w:rsidR="003827DC" w:rsidRPr="00E02776">
              <w:rPr>
                <w:rStyle w:val="Hyperlink"/>
                <w:noProof/>
              </w:rPr>
              <w:t>Social Media Posts and Graphics</w:t>
            </w:r>
            <w:r w:rsidR="003827DC">
              <w:rPr>
                <w:noProof/>
                <w:webHidden/>
              </w:rPr>
              <w:tab/>
            </w:r>
            <w:r w:rsidR="003827DC">
              <w:rPr>
                <w:noProof/>
                <w:webHidden/>
              </w:rPr>
              <w:fldChar w:fldCharType="begin"/>
            </w:r>
            <w:r w:rsidR="003827DC">
              <w:rPr>
                <w:noProof/>
                <w:webHidden/>
              </w:rPr>
              <w:instrText xml:space="preserve"> PAGEREF _Toc206084509 \h </w:instrText>
            </w:r>
            <w:r w:rsidR="003827DC">
              <w:rPr>
                <w:noProof/>
                <w:webHidden/>
              </w:rPr>
            </w:r>
            <w:r w:rsidR="003827DC">
              <w:rPr>
                <w:noProof/>
                <w:webHidden/>
              </w:rPr>
              <w:fldChar w:fldCharType="separate"/>
            </w:r>
            <w:r w:rsidR="00672EB6">
              <w:rPr>
                <w:noProof/>
                <w:webHidden/>
              </w:rPr>
              <w:t>9</w:t>
            </w:r>
            <w:r w:rsidR="003827DC">
              <w:rPr>
                <w:noProof/>
                <w:webHidden/>
              </w:rPr>
              <w:fldChar w:fldCharType="end"/>
            </w:r>
          </w:hyperlink>
        </w:p>
        <w:p w14:paraId="5EE7DA53" w14:textId="29F5AD78" w:rsidR="003827DC" w:rsidRDefault="00B452DE">
          <w:pPr>
            <w:pStyle w:val="TOC1"/>
            <w:tabs>
              <w:tab w:val="right" w:leader="dot" w:pos="10340"/>
            </w:tabs>
            <w:rPr>
              <w:rFonts w:eastAsiaTheme="minorEastAsia" w:cstheme="minorBidi"/>
              <w:bCs w:val="0"/>
              <w:iCs w:val="0"/>
              <w:noProof/>
              <w:kern w:val="2"/>
              <w:sz w:val="24"/>
              <w14:ligatures w14:val="standardContextual"/>
            </w:rPr>
          </w:pPr>
          <w:hyperlink w:anchor="_Toc206084510" w:history="1">
            <w:r w:rsidR="003827DC" w:rsidRPr="00E02776">
              <w:rPr>
                <w:rStyle w:val="Hyperlink"/>
                <w:noProof/>
              </w:rPr>
              <w:t>Newsletter Blurbs</w:t>
            </w:r>
            <w:r w:rsidR="003827DC">
              <w:rPr>
                <w:noProof/>
                <w:webHidden/>
              </w:rPr>
              <w:tab/>
            </w:r>
            <w:r w:rsidR="003827DC">
              <w:rPr>
                <w:noProof/>
                <w:webHidden/>
              </w:rPr>
              <w:fldChar w:fldCharType="begin"/>
            </w:r>
            <w:r w:rsidR="003827DC">
              <w:rPr>
                <w:noProof/>
                <w:webHidden/>
              </w:rPr>
              <w:instrText xml:space="preserve"> PAGEREF _Toc206084510 \h </w:instrText>
            </w:r>
            <w:r w:rsidR="003827DC">
              <w:rPr>
                <w:noProof/>
                <w:webHidden/>
              </w:rPr>
            </w:r>
            <w:r w:rsidR="003827DC">
              <w:rPr>
                <w:noProof/>
                <w:webHidden/>
              </w:rPr>
              <w:fldChar w:fldCharType="separate"/>
            </w:r>
            <w:r w:rsidR="00672EB6">
              <w:rPr>
                <w:noProof/>
                <w:webHidden/>
              </w:rPr>
              <w:t>11</w:t>
            </w:r>
            <w:r w:rsidR="003827DC">
              <w:rPr>
                <w:noProof/>
                <w:webHidden/>
              </w:rPr>
              <w:fldChar w:fldCharType="end"/>
            </w:r>
          </w:hyperlink>
        </w:p>
        <w:p w14:paraId="0FC3FDA2" w14:textId="7FAF7C96" w:rsidR="00F322DE" w:rsidRDefault="00F322DE">
          <w:r>
            <w:rPr>
              <w:rFonts w:cstheme="minorHAnsi"/>
              <w:iCs/>
              <w:szCs w:val="24"/>
            </w:rPr>
            <w:fldChar w:fldCharType="end"/>
          </w:r>
        </w:p>
      </w:sdtContent>
    </w:sdt>
    <w:p w14:paraId="612C0A78" w14:textId="77777777" w:rsidR="00F322DE" w:rsidRDefault="00F322DE" w:rsidP="003A78C2"/>
    <w:p w14:paraId="760A402D" w14:textId="77777777" w:rsidR="00226054" w:rsidRPr="00226054" w:rsidRDefault="00226054" w:rsidP="00226054">
      <w:pPr>
        <w:pStyle w:val="Heading1"/>
        <w:rPr>
          <w:rStyle w:val="normaltextrun"/>
        </w:rPr>
      </w:pPr>
      <w:bookmarkStart w:id="2" w:name="_Toc204333998"/>
      <w:bookmarkStart w:id="3" w:name="_Toc205320457"/>
      <w:bookmarkStart w:id="4" w:name="_Toc206084506"/>
      <w:r w:rsidRPr="00226054">
        <w:rPr>
          <w:rStyle w:val="normaltextrun"/>
        </w:rPr>
        <w:lastRenderedPageBreak/>
        <w:t>Messages for Consumers</w:t>
      </w:r>
      <w:bookmarkEnd w:id="2"/>
      <w:bookmarkEnd w:id="3"/>
      <w:bookmarkEnd w:id="4"/>
    </w:p>
    <w:p w14:paraId="024CF94F" w14:textId="77777777" w:rsidR="00226054" w:rsidRPr="00C72F1B" w:rsidRDefault="00226054" w:rsidP="00226054">
      <w:pPr>
        <w:rPr>
          <w:rStyle w:val="normaltextrun"/>
          <w:rFonts w:cs="Arial"/>
        </w:rPr>
      </w:pPr>
      <w:r w:rsidRPr="00C72F1B">
        <w:rPr>
          <w:rStyle w:val="normaltextrun"/>
          <w:rFonts w:cs="Arial"/>
        </w:rPr>
        <w:t xml:space="preserve">The federal actions impacting Marketplaces are complex, overlapping, and nuanced. To support Marketplace consumers effectively, communications should focus on immediate impacts and those taking effect for plan year 2026. Most consumers will face these changes during the upcoming open enrollment period. To ensure consumers and stakeholders are prepared and can take steps to maintain coverage, communications should begin in the months leading up to open enrollment. </w:t>
      </w:r>
    </w:p>
    <w:p w14:paraId="012B6E1D" w14:textId="34CCA88E" w:rsidR="00226054" w:rsidRPr="001E0A64" w:rsidRDefault="00226054" w:rsidP="00226054">
      <w:pPr>
        <w:rPr>
          <w:rStyle w:val="normaltextrun"/>
          <w:rFonts w:cs="Arial"/>
        </w:rPr>
      </w:pPr>
      <w:r w:rsidRPr="00C72F1B">
        <w:rPr>
          <w:rStyle w:val="normaltextrun"/>
          <w:rFonts w:cs="Arial"/>
        </w:rPr>
        <w:t>This section outlines core messages that can be adapted across channels</w:t>
      </w:r>
      <w:r w:rsidRPr="00C72F1B">
        <w:rPr>
          <w:rStyle w:val="normaltextrun"/>
          <w:rFonts w:cs="Arial"/>
          <w:lang w:val="en"/>
        </w:rPr>
        <w:t xml:space="preserve"> and are</w:t>
      </w:r>
      <w:r w:rsidRPr="00C72F1B">
        <w:rPr>
          <w:rStyle w:val="normaltextrun"/>
          <w:rFonts w:cs="Arial"/>
        </w:rPr>
        <w:t xml:space="preserve"> reflected</w:t>
      </w:r>
      <w:r w:rsidRPr="00C72F1B">
        <w:rPr>
          <w:rStyle w:val="normaltextrun"/>
          <w:rFonts w:cs="Arial"/>
          <w:lang w:val="en"/>
        </w:rPr>
        <w:t xml:space="preserve"> </w:t>
      </w:r>
      <w:r w:rsidRPr="00C72F1B">
        <w:rPr>
          <w:rStyle w:val="normaltextrun"/>
          <w:rFonts w:cs="Arial"/>
        </w:rPr>
        <w:t>in the templates throughout this toolkit.</w:t>
      </w:r>
    </w:p>
    <w:tbl>
      <w:tblPr>
        <w:tblStyle w:val="TableGrid"/>
        <w:tblW w:w="0" w:type="auto"/>
        <w:tblLayout w:type="fixed"/>
        <w:tblLook w:val="06A0" w:firstRow="1" w:lastRow="0" w:firstColumn="1" w:lastColumn="0" w:noHBand="1" w:noVBand="1"/>
      </w:tblPr>
      <w:tblGrid>
        <w:gridCol w:w="10350"/>
      </w:tblGrid>
      <w:tr w:rsidR="020E9380" w:rsidRPr="00D4360B" w14:paraId="037CE34A" w14:textId="77777777" w:rsidTr="003827DC">
        <w:trPr>
          <w:trHeight w:val="300"/>
        </w:trPr>
        <w:tc>
          <w:tcPr>
            <w:tcW w:w="10350" w:type="dxa"/>
            <w:tcBorders>
              <w:top w:val="nil"/>
              <w:left w:val="nil"/>
              <w:bottom w:val="nil"/>
              <w:right w:val="nil"/>
            </w:tcBorders>
            <w:shd w:val="clear" w:color="auto" w:fill="F2F2F2" w:themeFill="background1" w:themeFillShade="F2"/>
            <w:tcMar>
              <w:top w:w="216" w:type="dxa"/>
              <w:left w:w="216" w:type="dxa"/>
              <w:bottom w:w="216" w:type="dxa"/>
              <w:right w:w="216" w:type="dxa"/>
            </w:tcMar>
          </w:tcPr>
          <w:p w14:paraId="2836A484" w14:textId="77777777" w:rsidR="00632CFC" w:rsidRPr="001E0A64" w:rsidRDefault="00632CFC" w:rsidP="00632CFC">
            <w:pPr>
              <w:pStyle w:val="Heading2"/>
              <w:outlineLvl w:val="1"/>
              <w:rPr>
                <w:rStyle w:val="normaltextrun"/>
                <w:lang w:val="es-ES"/>
              </w:rPr>
            </w:pPr>
            <w:r w:rsidRPr="001E0A64">
              <w:rPr>
                <w:rStyle w:val="normaltextrun"/>
                <w:lang w:val="es-ES"/>
              </w:rPr>
              <w:t xml:space="preserve">General </w:t>
            </w:r>
            <w:proofErr w:type="spellStart"/>
            <w:r w:rsidRPr="001E0A64">
              <w:rPr>
                <w:rStyle w:val="normaltextrun"/>
                <w:lang w:val="es-ES"/>
              </w:rPr>
              <w:t>Messages</w:t>
            </w:r>
            <w:proofErr w:type="spellEnd"/>
          </w:p>
          <w:p w14:paraId="4F5AC954" w14:textId="77777777" w:rsidR="001F6522" w:rsidRPr="009827C0" w:rsidRDefault="001F6522" w:rsidP="001F6522">
            <w:pPr>
              <w:pStyle w:val="Heading3"/>
              <w:outlineLvl w:val="2"/>
              <w:rPr>
                <w:rStyle w:val="normaltextrun"/>
                <w:lang w:val="es-ES"/>
              </w:rPr>
            </w:pPr>
            <w:r w:rsidRPr="009827C0">
              <w:rPr>
                <w:rStyle w:val="normaltextrun"/>
                <w:lang w:val="es-ES"/>
              </w:rPr>
              <w:t>Establ</w:t>
            </w:r>
            <w:r>
              <w:rPr>
                <w:rStyle w:val="normaltextrun"/>
                <w:lang w:val="es-ES"/>
              </w:rPr>
              <w:t>ezca los Cambio</w:t>
            </w:r>
            <w:r w:rsidRPr="009827C0">
              <w:rPr>
                <w:rStyle w:val="normaltextrun"/>
                <w:lang w:val="es-ES"/>
              </w:rPr>
              <w:t>s</w:t>
            </w:r>
          </w:p>
          <w:p w14:paraId="51DDE668" w14:textId="77777777" w:rsidR="0055304B" w:rsidRDefault="0055304B" w:rsidP="001E0A64">
            <w:pPr>
              <w:pStyle w:val="ListParagraph"/>
              <w:rPr>
                <w:lang w:val="es-ES"/>
              </w:rPr>
            </w:pPr>
            <w:r w:rsidRPr="00ED6F24">
              <w:rPr>
                <w:lang w:val="es-ES"/>
              </w:rPr>
              <w:t>La Administración Trump y el Congreso han establecido nuevas reglas y aprobado una nueva ley que afectará su cobertura médica, sus costos y su atención</w:t>
            </w:r>
            <w:r>
              <w:rPr>
                <w:lang w:val="es-ES"/>
              </w:rPr>
              <w:t xml:space="preserve"> médica</w:t>
            </w:r>
            <w:r w:rsidRPr="00ED6F24">
              <w:rPr>
                <w:lang w:val="es-ES"/>
              </w:rPr>
              <w:t>.</w:t>
            </w:r>
          </w:p>
          <w:p w14:paraId="48DCF933" w14:textId="77777777" w:rsidR="0055304B" w:rsidRDefault="0055304B" w:rsidP="001E0A64">
            <w:pPr>
              <w:pStyle w:val="ListParagraph"/>
              <w:rPr>
                <w:lang w:val="es-ES"/>
              </w:rPr>
            </w:pPr>
            <w:r w:rsidRPr="00ED6F24">
              <w:rPr>
                <w:lang w:val="es-ES"/>
              </w:rPr>
              <w:t xml:space="preserve">Las recientes medidas federales están generando cambios importantes que </w:t>
            </w:r>
            <w:r>
              <w:rPr>
                <w:lang w:val="es-ES"/>
              </w:rPr>
              <w:t>afectan el</w:t>
            </w:r>
            <w:r w:rsidRPr="00ED6F24">
              <w:rPr>
                <w:lang w:val="es-ES"/>
              </w:rPr>
              <w:t xml:space="preserve"> seguro médico, incluyendo [M</w:t>
            </w:r>
            <w:r>
              <w:rPr>
                <w:lang w:val="es-ES"/>
              </w:rPr>
              <w:t>ERCADO</w:t>
            </w:r>
            <w:r w:rsidRPr="00ED6F24">
              <w:rPr>
                <w:lang w:val="es-ES"/>
              </w:rPr>
              <w:t>]. Estos cambios afectarán la forma en que solicita o renueva su cobertura, su costo y qué cubre. La mayoría de los [</w:t>
            </w:r>
            <w:r>
              <w:rPr>
                <w:lang w:val="es-ES"/>
              </w:rPr>
              <w:t>RESIDENTES DEL ESTADO</w:t>
            </w:r>
            <w:r w:rsidRPr="00ED6F24">
              <w:rPr>
                <w:lang w:val="es-ES"/>
              </w:rPr>
              <w:t>] experimentarán estos cambios durante el próximo período de inscripción abierta, que se extenderá del [1 de noviembre del 2025] al [15 de enero del 2026].</w:t>
            </w:r>
          </w:p>
          <w:p w14:paraId="6050F610" w14:textId="77777777" w:rsidR="0055304B" w:rsidRDefault="0055304B" w:rsidP="001E0A64">
            <w:pPr>
              <w:pStyle w:val="ListParagraph"/>
              <w:rPr>
                <w:lang w:val="es-ES"/>
              </w:rPr>
            </w:pPr>
            <w:r w:rsidRPr="6B33EACA">
              <w:rPr>
                <w:lang w:val="es-ES"/>
              </w:rPr>
              <w:t xml:space="preserve">No hay cambios en su plan de salud del 2025. Si actualmente está inscrito/a, le animamos a usar sus beneficios. Ya sea para programar su visita de chequeo anual gratuita o para abordar alguna inquietud que ha estado posponiendo, ahora es el momento de tomar las riendas de su salud. </w:t>
            </w:r>
          </w:p>
          <w:p w14:paraId="1CFCAA2B" w14:textId="77777777" w:rsidR="0055304B" w:rsidRPr="00ED6F24" w:rsidRDefault="0055304B" w:rsidP="0055304B">
            <w:pPr>
              <w:pStyle w:val="ListParagraph"/>
              <w:numPr>
                <w:ilvl w:val="0"/>
                <w:numId w:val="0"/>
              </w:numPr>
              <w:ind w:left="720"/>
              <w:rPr>
                <w:rFonts w:ascii="Calibri" w:hAnsi="Calibri" w:cs="Calibri"/>
                <w:lang w:val="es-ES"/>
              </w:rPr>
            </w:pPr>
            <w:r w:rsidRPr="00ED6F24">
              <w:rPr>
                <w:rFonts w:ascii="Calibri" w:hAnsi="Calibri" w:cs="Calibri"/>
                <w:i/>
                <w:iCs/>
                <w:lang w:val="es-ES"/>
              </w:rPr>
              <w:t>Nota: Dependiendo del estado de las cancelaciones de cobertura para los beneficiarios de la Acción Diferida para los Llegados en la Infancia (DACA) en su estado, considere segmentar las listas (por ejemplo, correo electrónico), si es posible, para comunicar este mensaje a los afiliados que puedan mantener su cobertura del 2025.</w:t>
            </w:r>
          </w:p>
          <w:p w14:paraId="7F01669A" w14:textId="77777777" w:rsidR="002F1157" w:rsidRPr="00726211" w:rsidRDefault="002F1157" w:rsidP="002F1157">
            <w:pPr>
              <w:pStyle w:val="Heading3"/>
              <w:outlineLvl w:val="2"/>
              <w:rPr>
                <w:rStyle w:val="normaltextrun"/>
                <w:rFonts w:cs="Arial"/>
                <w:lang w:val="es-ES"/>
              </w:rPr>
            </w:pPr>
            <w:r w:rsidRPr="00726211">
              <w:rPr>
                <w:rStyle w:val="normaltextrun"/>
                <w:rFonts w:cs="Arial"/>
                <w:lang w:val="es-ES"/>
              </w:rPr>
              <w:t>Posicione el M</w:t>
            </w:r>
            <w:r>
              <w:rPr>
                <w:rStyle w:val="normaltextrun"/>
                <w:rFonts w:cs="Arial"/>
                <w:lang w:val="es-ES"/>
              </w:rPr>
              <w:t>ercado</w:t>
            </w:r>
          </w:p>
          <w:p w14:paraId="017ACBA4" w14:textId="77777777" w:rsidR="000F4526" w:rsidRDefault="000F4526" w:rsidP="001E0A64">
            <w:pPr>
              <w:pStyle w:val="ListParagraph"/>
              <w:rPr>
                <w:lang w:val="es-ES"/>
              </w:rPr>
            </w:pPr>
            <w:r w:rsidRPr="00ED6F24">
              <w:rPr>
                <w:lang w:val="es-ES"/>
              </w:rPr>
              <w:t>[MERCADO] está aquí para ayudarle. Estamos aquí para guiarle a través de los cambios federales y ayudarle a mantener la cobertura en un plan que se ajuste a sus necesidades.</w:t>
            </w:r>
          </w:p>
          <w:p w14:paraId="5EE30381" w14:textId="77777777" w:rsidR="000F4526" w:rsidRDefault="000F4526" w:rsidP="001E0A64">
            <w:pPr>
              <w:pStyle w:val="ListParagraph"/>
              <w:rPr>
                <w:lang w:val="es-ES"/>
              </w:rPr>
            </w:pPr>
            <w:r w:rsidRPr="00ED6F24">
              <w:rPr>
                <w:lang w:val="es-ES"/>
              </w:rPr>
              <w:t>Este año se avecinan grandes cambios en los seguros médicos. Estamos aquí para ayudarle a comprender los cambios y asegurarnos que aproveche al máximo su plan de salud.</w:t>
            </w:r>
          </w:p>
          <w:p w14:paraId="460A5D28" w14:textId="77777777" w:rsidR="000F4526" w:rsidRPr="00ED6F24" w:rsidRDefault="000F4526" w:rsidP="001E0A64">
            <w:pPr>
              <w:pStyle w:val="ListParagraph"/>
              <w:rPr>
                <w:lang w:val="es-ES"/>
              </w:rPr>
            </w:pPr>
            <w:r w:rsidRPr="00ED6F24">
              <w:rPr>
                <w:lang w:val="es-ES"/>
              </w:rPr>
              <w:t xml:space="preserve">Estamos aquí para ayudarle a comprender estos cambios y lo que significan para usted y su familia. Visite [URL] para leer sobre las nuevas </w:t>
            </w:r>
            <w:r>
              <w:rPr>
                <w:lang w:val="es-ES"/>
              </w:rPr>
              <w:t>regla</w:t>
            </w:r>
            <w:r w:rsidRPr="00ED6F24">
              <w:rPr>
                <w:lang w:val="es-ES"/>
              </w:rPr>
              <w:t xml:space="preserve">s federales. </w:t>
            </w:r>
          </w:p>
          <w:p w14:paraId="02B36430" w14:textId="77777777" w:rsidR="00F548E6" w:rsidRPr="00ED6F24" w:rsidRDefault="00F548E6" w:rsidP="00F548E6">
            <w:pPr>
              <w:pStyle w:val="Heading3"/>
              <w:outlineLvl w:val="2"/>
              <w:rPr>
                <w:rFonts w:cs="Arial"/>
                <w:lang w:val="es-ES"/>
              </w:rPr>
            </w:pPr>
            <w:r w:rsidRPr="00ED6F24">
              <w:rPr>
                <w:rStyle w:val="normaltextrun"/>
                <w:rFonts w:cs="Arial"/>
                <w:lang w:val="es-ES"/>
              </w:rPr>
              <w:t>Vista Previa de Aumentos de Costos</w:t>
            </w:r>
          </w:p>
          <w:p w14:paraId="2D4F8370" w14:textId="77777777" w:rsidR="00254A35" w:rsidRDefault="00254A35" w:rsidP="001E0A64">
            <w:pPr>
              <w:pStyle w:val="ListParagraph"/>
              <w:rPr>
                <w:lang w:val="es-ES"/>
              </w:rPr>
            </w:pPr>
            <w:r w:rsidRPr="00ED6F24">
              <w:rPr>
                <w:lang w:val="es-ES"/>
              </w:rPr>
              <w:t xml:space="preserve">Tras los cambios federales, prevemos que los costos de los planes de salud aumenten en el 2026. </w:t>
            </w:r>
          </w:p>
          <w:p w14:paraId="5E723494" w14:textId="77777777" w:rsidR="00254A35" w:rsidRDefault="00254A35" w:rsidP="001E0A64">
            <w:pPr>
              <w:pStyle w:val="ListParagraph"/>
              <w:rPr>
                <w:lang w:val="es-ES"/>
              </w:rPr>
            </w:pPr>
            <w:r w:rsidRPr="00ED6F24">
              <w:rPr>
                <w:lang w:val="es-ES"/>
              </w:rPr>
              <w:t xml:space="preserve">Debido a los cambios federales, su prima mensual para un plan de salud del 2026 podría aumentar. Para asegurarse de obtener el mejor valor por su plan, </w:t>
            </w:r>
            <w:r>
              <w:rPr>
                <w:lang w:val="es-ES"/>
              </w:rPr>
              <w:t>revise los planes de salud</w:t>
            </w:r>
            <w:r w:rsidRPr="00ED6F24">
              <w:rPr>
                <w:lang w:val="es-ES"/>
              </w:rPr>
              <w:t xml:space="preserve"> durante el período de inscripción abierta. Podría haber mejores opciones para sus necesidades y presupuesto. En [MES] podrá obtener una vista previa de los planes y precios del 2026.</w:t>
            </w:r>
          </w:p>
          <w:p w14:paraId="5E580A40" w14:textId="77777777" w:rsidR="00254A35" w:rsidRPr="00E2060B" w:rsidRDefault="00254A35" w:rsidP="001E0A64">
            <w:pPr>
              <w:pStyle w:val="ListParagraph"/>
              <w:rPr>
                <w:lang w:val="es-ES"/>
              </w:rPr>
            </w:pPr>
            <w:r w:rsidRPr="00ED6F24">
              <w:rPr>
                <w:lang w:val="es-ES"/>
              </w:rPr>
              <w:t>Incluso si su plan actual cuesta más el próximo año, tiene opciones. Podría haber otros planes con primas o costos más bajos cuando reciba atención médica. Tendrá la oportunidad de explorar todos los planes y precios durante el período de inscripción abierta.</w:t>
            </w:r>
          </w:p>
          <w:p w14:paraId="728E1615" w14:textId="77777777" w:rsidR="00254A35" w:rsidRDefault="00254A35" w:rsidP="001E0A64">
            <w:pPr>
              <w:pStyle w:val="ListParagraph"/>
              <w:rPr>
                <w:lang w:val="es-ES"/>
              </w:rPr>
            </w:pPr>
            <w:r w:rsidRPr="00ED6F24">
              <w:rPr>
                <w:lang w:val="es-ES"/>
              </w:rPr>
              <w:lastRenderedPageBreak/>
              <w:t>Si bien algunos ahorros federales están llegando a su fin, la mayoría de las personas seguirán recibiendo ayuda para pagar su seguro médico. Estamos aquí para ayudarle a calcular cuánto puede ahorrar.</w:t>
            </w:r>
          </w:p>
          <w:p w14:paraId="4FF225DB" w14:textId="77777777" w:rsidR="00254A35" w:rsidRPr="008A1DC5" w:rsidRDefault="00254A35" w:rsidP="001E0A64">
            <w:pPr>
              <w:pStyle w:val="ListParagraph"/>
              <w:rPr>
                <w:lang w:val="es-ES"/>
              </w:rPr>
            </w:pPr>
            <w:r w:rsidRPr="00ED6F24">
              <w:rPr>
                <w:lang w:val="es-ES"/>
              </w:rPr>
              <w:t xml:space="preserve">Actualmente, [###/LA MAYORÍA] de las personas que </w:t>
            </w:r>
            <w:r>
              <w:rPr>
                <w:lang w:val="es-ES"/>
              </w:rPr>
              <w:t>obtienen</w:t>
            </w:r>
            <w:r w:rsidRPr="00ED6F24">
              <w:rPr>
                <w:lang w:val="es-ES"/>
              </w:rPr>
              <w:t xml:space="preserve"> su seguro médico a través de [MERCADO] reciben créditos fiscales adicionales para ayudar a reducir el costo de su prima mensual. A menos que el Congreso decida extenderlos, estos créditos fiscales adicionales finalizarán en diciembre.</w:t>
            </w:r>
          </w:p>
          <w:p w14:paraId="154D6E0E" w14:textId="77777777" w:rsidR="00700053" w:rsidRPr="005F286D" w:rsidRDefault="00700053" w:rsidP="00700053">
            <w:pPr>
              <w:pStyle w:val="Heading3"/>
              <w:outlineLvl w:val="2"/>
              <w:rPr>
                <w:rStyle w:val="normaltextrun"/>
                <w:lang w:val="es-ES"/>
              </w:rPr>
            </w:pPr>
            <w:r w:rsidRPr="6B33EACA">
              <w:rPr>
                <w:rStyle w:val="normaltextrun"/>
                <w:lang w:val="es-ES"/>
              </w:rPr>
              <w:t xml:space="preserve">Aliente la Búsqueda de Plan </w:t>
            </w:r>
          </w:p>
          <w:p w14:paraId="639F90E6" w14:textId="77777777" w:rsidR="00FC0F0B" w:rsidRDefault="00FC0F0B" w:rsidP="001E0A64">
            <w:pPr>
              <w:pStyle w:val="ListParagraph"/>
              <w:rPr>
                <w:lang w:val="es-ES"/>
              </w:rPr>
            </w:pPr>
            <w:r w:rsidRPr="00ED6F24">
              <w:rPr>
                <w:lang w:val="es-ES"/>
              </w:rPr>
              <w:t>Los planes y precios cambian cada año. Este año, es especialmente importante revisar sus opciones. Los cambios federales pueden afectar su elegibilidad, los beneficios y los costos de su plan.</w:t>
            </w:r>
          </w:p>
          <w:p w14:paraId="7B86BC84" w14:textId="77777777" w:rsidR="00FC0F0B" w:rsidRDefault="00FC0F0B" w:rsidP="001E0A64">
            <w:pPr>
              <w:pStyle w:val="ListParagraph"/>
              <w:rPr>
                <w:lang w:val="es-ES"/>
              </w:rPr>
            </w:pPr>
            <w:r w:rsidRPr="00ED6F24">
              <w:rPr>
                <w:lang w:val="es-ES"/>
              </w:rPr>
              <w:t xml:space="preserve">Usted tiene opciones. La inscripción abierta es una oportunidad para pensar en lo que más desea de un plan de salud, y podemos ayudarle a encontrar el adecuado. Esto podría significar cambiar su plan de salud actual para obtener </w:t>
            </w:r>
            <w:r>
              <w:rPr>
                <w:lang w:val="es-ES"/>
              </w:rPr>
              <w:t>el</w:t>
            </w:r>
            <w:r w:rsidRPr="00ED6F24">
              <w:rPr>
                <w:lang w:val="es-ES"/>
              </w:rPr>
              <w:t xml:space="preserve"> mejor </w:t>
            </w:r>
            <w:r>
              <w:rPr>
                <w:lang w:val="es-ES"/>
              </w:rPr>
              <w:t>en cuanto a</w:t>
            </w:r>
            <w:r w:rsidRPr="00ED6F24">
              <w:rPr>
                <w:lang w:val="es-ES"/>
              </w:rPr>
              <w:t xml:space="preserve"> calidad-precio.</w:t>
            </w:r>
          </w:p>
          <w:p w14:paraId="7AFB028B" w14:textId="77777777" w:rsidR="00FC0F0B" w:rsidRDefault="00FC0F0B" w:rsidP="001E0A64">
            <w:pPr>
              <w:pStyle w:val="ListParagraph"/>
              <w:rPr>
                <w:lang w:val="es-ES"/>
              </w:rPr>
            </w:pPr>
            <w:r w:rsidRPr="00ED6F24">
              <w:rPr>
                <w:lang w:val="es-ES"/>
              </w:rPr>
              <w:t>Asegúrese que su plan de salud siga siendo adecuado para usted. Puede haber mejores opciones que se ajusten a sus necesidades y presupuesto, así que tómese su tiempo para comparar planes y encontrar la cobertura que mejor se adapte a sus necesidades.</w:t>
            </w:r>
          </w:p>
          <w:p w14:paraId="0A9D9299" w14:textId="77777777" w:rsidR="00FC0F0B" w:rsidRDefault="00FC0F0B" w:rsidP="001E0A64">
            <w:pPr>
              <w:pStyle w:val="ListParagraph"/>
              <w:rPr>
                <w:lang w:val="es-ES"/>
              </w:rPr>
            </w:pPr>
            <w:r w:rsidRPr="00ED6F24">
              <w:rPr>
                <w:lang w:val="es-ES"/>
              </w:rPr>
              <w:t>Incluso si ya ha buscado antes, debido a los cambios federales que afectan a todos los Mercados de seguros médicos, es más importante que nunca revisar sus opciones.</w:t>
            </w:r>
          </w:p>
          <w:p w14:paraId="5A0DB40C" w14:textId="77777777" w:rsidR="00FC0F0B" w:rsidRPr="00BA1C18" w:rsidRDefault="00FC0F0B" w:rsidP="001E0A64">
            <w:pPr>
              <w:pStyle w:val="ListParagraph"/>
              <w:rPr>
                <w:lang w:val="es-ES"/>
              </w:rPr>
            </w:pPr>
            <w:r w:rsidRPr="00BA1C18">
              <w:rPr>
                <w:lang w:val="es-ES"/>
              </w:rPr>
              <w:t>A partir de [MES], puede empezar a comparar planes y precios para el 2026. Nuestra herramienta [</w:t>
            </w:r>
            <w:r>
              <w:rPr>
                <w:lang w:val="es-ES"/>
              </w:rPr>
              <w:t>HERRAMIENTA PARA CALCULAR COSTOS</w:t>
            </w:r>
            <w:r w:rsidRPr="00BA1C18">
              <w:rPr>
                <w:lang w:val="es-ES"/>
              </w:rPr>
              <w:t xml:space="preserve">] es fácil de usar y solo toma unos minutos obtener un presupuesto. No necesita una cuenta para usar la herramienta. Visite [URL] para explorar sus opciones. </w:t>
            </w:r>
          </w:p>
          <w:p w14:paraId="1A74960E" w14:textId="77777777" w:rsidR="00402A9F" w:rsidRPr="00800E16" w:rsidRDefault="00402A9F" w:rsidP="00402A9F">
            <w:pPr>
              <w:pStyle w:val="Heading3"/>
              <w:outlineLvl w:val="2"/>
              <w:rPr>
                <w:lang w:val="es-ES"/>
              </w:rPr>
            </w:pPr>
            <w:r w:rsidRPr="005F286D">
              <w:rPr>
                <w:rStyle w:val="normaltextrun"/>
                <w:lang w:val="es-ES"/>
              </w:rPr>
              <w:t>Prepárese para la Documen</w:t>
            </w:r>
            <w:r>
              <w:rPr>
                <w:rStyle w:val="normaltextrun"/>
                <w:lang w:val="es-ES"/>
              </w:rPr>
              <w:t>tación</w:t>
            </w:r>
          </w:p>
          <w:p w14:paraId="391E77D3" w14:textId="77777777" w:rsidR="00A96CA7" w:rsidRDefault="00A96CA7" w:rsidP="001E0A64">
            <w:pPr>
              <w:pStyle w:val="ListParagraph"/>
              <w:rPr>
                <w:lang w:val="es-ES"/>
              </w:rPr>
            </w:pPr>
            <w:r w:rsidRPr="00BA1C18">
              <w:rPr>
                <w:lang w:val="es-ES"/>
              </w:rPr>
              <w:t>Debido a cambios federales, algunas personas podrían necesitar presentar documentación adicional este año. Si recibe un [AVISO] solicitando documentos, no espere. Responda rápidamente para evitar perder la cobertura.</w:t>
            </w:r>
          </w:p>
          <w:p w14:paraId="60E7A6C0" w14:textId="77777777" w:rsidR="00A96CA7" w:rsidRDefault="00A96CA7" w:rsidP="001E0A64">
            <w:pPr>
              <w:pStyle w:val="ListParagraph"/>
              <w:rPr>
                <w:lang w:val="es-ES"/>
              </w:rPr>
            </w:pPr>
            <w:r w:rsidRPr="00BA1C18">
              <w:rPr>
                <w:lang w:val="es-ES"/>
              </w:rPr>
              <w:t xml:space="preserve">Esté atento/a </w:t>
            </w:r>
            <w:proofErr w:type="spellStart"/>
            <w:r w:rsidRPr="00BA1C18">
              <w:rPr>
                <w:lang w:val="es-ES"/>
              </w:rPr>
              <w:t>a</w:t>
            </w:r>
            <w:proofErr w:type="spellEnd"/>
            <w:r w:rsidRPr="00BA1C18">
              <w:rPr>
                <w:lang w:val="es-ES"/>
              </w:rPr>
              <w:t xml:space="preserve"> su cuenta de [MERCADO]. Le enviaremos un mensaje si necesitamos documentos y le daremos instrucciones sobre cómo enviarlos.</w:t>
            </w:r>
          </w:p>
          <w:p w14:paraId="31F5106F" w14:textId="77777777" w:rsidR="00A96CA7" w:rsidRPr="00BA1C18" w:rsidRDefault="00A96CA7" w:rsidP="001E0A64">
            <w:pPr>
              <w:pStyle w:val="ListParagraph"/>
              <w:rPr>
                <w:lang w:val="es-ES"/>
              </w:rPr>
            </w:pPr>
            <w:r w:rsidRPr="00BA1C18">
              <w:rPr>
                <w:lang w:val="es-ES"/>
              </w:rPr>
              <w:t>Cuando aplica por un plan de salud a través de [MERCADO], le preguntamos sobre sus ingresos familiares para poder ayudarle a obtener ahorros. Si es elegible para ahorros (llamados crédito fiscal para la prima) para ayudar a pagar su plan, revisamos la información de sus ingresos para asegurarnos que reciba la cantidad correcta de ahorros. Si no podemos confirmar sus ingresos con los datos de una declaración de impuestos anterior u otras fuentes, tendrá 90 días para presentar documentos como talones de pago, formularios W-2, formularios 1099 o su declaración de impuestos 1040.</w:t>
            </w:r>
          </w:p>
          <w:p w14:paraId="6B05EA1D" w14:textId="77777777" w:rsidR="00453FDF" w:rsidRPr="00800E16" w:rsidRDefault="00453FDF" w:rsidP="00453FDF">
            <w:pPr>
              <w:pStyle w:val="Heading3"/>
              <w:outlineLvl w:val="2"/>
              <w:rPr>
                <w:lang w:val="es-ES"/>
              </w:rPr>
            </w:pPr>
            <w:r>
              <w:rPr>
                <w:lang w:val="es-ES"/>
              </w:rPr>
              <w:t>Entienda Sus Impuestos</w:t>
            </w:r>
          </w:p>
          <w:p w14:paraId="77BF38F5" w14:textId="77777777" w:rsidR="005A3CC0" w:rsidRDefault="005A3CC0" w:rsidP="001E0A64">
            <w:pPr>
              <w:pStyle w:val="ListParagraph"/>
              <w:rPr>
                <w:lang w:val="es-ES"/>
              </w:rPr>
            </w:pPr>
            <w:r w:rsidRPr="00BA1C18">
              <w:rPr>
                <w:lang w:val="es-ES"/>
              </w:rPr>
              <w:t>Si recibe un crédito fiscal por prima anticipada (el ahorro que reduce el costo de su prima mensual), debe presentar su declaración de impuestos y un formulario especial (Formulario 8962 del IRS) para asegurarse de haber recibido el monto correcto de ahorro según sus ingresos.</w:t>
            </w:r>
          </w:p>
          <w:p w14:paraId="7DF91366" w14:textId="77777777" w:rsidR="005A3CC0" w:rsidRDefault="005A3CC0" w:rsidP="001E0A64">
            <w:pPr>
              <w:pStyle w:val="ListParagraph"/>
              <w:rPr>
                <w:lang w:val="es-ES"/>
              </w:rPr>
            </w:pPr>
            <w:r w:rsidRPr="00BA1C18">
              <w:rPr>
                <w:lang w:val="es-ES"/>
              </w:rPr>
              <w:t>Si recibió créditos fiscales por prima anticipada para su plan de salud del 2024, debe presentar su declaración de impuestos del 2024 e incluir el Formulario 8962 del IRS. Si se salta este paso, no será elegible para los ahorros en la prima del 2026. Visite [URL] para obtener más información sobre impuestos y su plan de salud.</w:t>
            </w:r>
          </w:p>
          <w:p w14:paraId="576A2EC2" w14:textId="77777777" w:rsidR="005A3CC0" w:rsidRDefault="005A3CC0" w:rsidP="001E0A64">
            <w:pPr>
              <w:pStyle w:val="ListParagraph"/>
              <w:rPr>
                <w:lang w:val="es-ES"/>
              </w:rPr>
            </w:pPr>
            <w:r w:rsidRPr="00BA1C18">
              <w:rPr>
                <w:lang w:val="es-ES"/>
              </w:rPr>
              <w:lastRenderedPageBreak/>
              <w:t>Si aún no ha presentado su declaración de impuestos del 2024, le recomendamos que lo haga pronto. La presentación electrónica (a través de un preparador de impuestos o mediante un software tributario) puede ayudar a evitar retrasos en el procesamiento del IRS.</w:t>
            </w:r>
          </w:p>
          <w:p w14:paraId="1F90A850" w14:textId="77777777" w:rsidR="005A3CC0" w:rsidRDefault="005A3CC0" w:rsidP="001E0A64">
            <w:pPr>
              <w:pStyle w:val="ListParagraph"/>
              <w:rPr>
                <w:lang w:val="es-ES"/>
              </w:rPr>
            </w:pPr>
            <w:r w:rsidRPr="00BA1C18">
              <w:rPr>
                <w:lang w:val="es-ES"/>
              </w:rPr>
              <w:t>Es más importante que nunca actualizar sus ingresos estimados durante el período de inscripción abierta. Podría deberle dinero al IRS si recibe un crédito fiscal por prima anticipada mayor al que le corresponde. Esto podría suceder si subestima sus ingresos. Debido a las nuevas reglas federales, algunas personas tendrán que devolver más dinero que antes.</w:t>
            </w:r>
          </w:p>
          <w:p w14:paraId="0B95C4C1" w14:textId="77777777" w:rsidR="005A3CC0" w:rsidRDefault="005A3CC0" w:rsidP="001E0A64">
            <w:pPr>
              <w:pStyle w:val="ListParagraph"/>
              <w:rPr>
                <w:lang w:val="es-ES"/>
              </w:rPr>
            </w:pPr>
            <w:r w:rsidRPr="00BA1C18">
              <w:rPr>
                <w:lang w:val="es-ES"/>
              </w:rPr>
              <w:t>Si no está seguro/a de cómo calcular sus ingresos para el próximo año o desea reducir la probabilidad de deberle dinero al IRS, podemos ayudarle.</w:t>
            </w:r>
          </w:p>
          <w:p w14:paraId="1AE150D6" w14:textId="45FA325B" w:rsidR="00632CFC" w:rsidRPr="005A3CC0" w:rsidRDefault="005A3CC0" w:rsidP="001E0A64">
            <w:pPr>
              <w:pStyle w:val="ListParagraph"/>
              <w:rPr>
                <w:lang w:val="es-ES"/>
              </w:rPr>
            </w:pPr>
            <w:r w:rsidRPr="00BA1C18">
              <w:rPr>
                <w:lang w:val="es-ES"/>
              </w:rPr>
              <w:t>Si le preocupa deberle dinero al IRS, tiene opciones. Una forma de reducir ese riesgo es optar por un crédito fiscal por prima anticipada menor. Si resulta que calificó para más ayuda de la que recibió, recibirá el resto como reembolso de impuestos después de presentar su declaración de impuestos el año siguiente. Es una manera de mantenerse cubierto ahora y evitar sorpresas más adelante</w:t>
            </w:r>
            <w:r w:rsidR="00632CFC" w:rsidRPr="005A3CC0">
              <w:rPr>
                <w:lang w:val="es-ES"/>
              </w:rPr>
              <w:t>.</w:t>
            </w:r>
          </w:p>
          <w:p w14:paraId="50E6EF98" w14:textId="77777777" w:rsidR="00632CFC" w:rsidRDefault="00632CFC" w:rsidP="00632CFC">
            <w:pPr>
              <w:pStyle w:val="Heading2"/>
              <w:outlineLvl w:val="1"/>
            </w:pPr>
            <w:r>
              <w:t>Population-Specific Messages</w:t>
            </w:r>
          </w:p>
          <w:p w14:paraId="12455FD7" w14:textId="77777777" w:rsidR="005F31DB" w:rsidRPr="004B3B10" w:rsidRDefault="005F31DB" w:rsidP="005F31DB">
            <w:pPr>
              <w:pStyle w:val="Heading3"/>
              <w:outlineLvl w:val="2"/>
              <w:rPr>
                <w:rStyle w:val="eop"/>
                <w:sz w:val="22"/>
                <w:szCs w:val="22"/>
                <w:lang w:val="es-ES"/>
              </w:rPr>
            </w:pPr>
            <w:r w:rsidRPr="004B3B10">
              <w:rPr>
                <w:rStyle w:val="eop"/>
                <w:lang w:val="es-ES"/>
              </w:rPr>
              <w:t>Comunidad Inmigrante</w:t>
            </w:r>
          </w:p>
          <w:p w14:paraId="7EA190B3" w14:textId="77777777" w:rsidR="004A21D9" w:rsidRDefault="004A21D9" w:rsidP="001E0A64">
            <w:pPr>
              <w:pStyle w:val="ListParagraph"/>
              <w:rPr>
                <w:lang w:val="es-ES"/>
              </w:rPr>
            </w:pPr>
            <w:r w:rsidRPr="004B3B10">
              <w:rPr>
                <w:lang w:val="es-ES"/>
              </w:rPr>
              <w:t xml:space="preserve">La Administración Trump y el Congreso han establecido nuevas </w:t>
            </w:r>
            <w:r>
              <w:rPr>
                <w:lang w:val="es-ES"/>
              </w:rPr>
              <w:t>regla</w:t>
            </w:r>
            <w:r w:rsidRPr="004B3B10">
              <w:rPr>
                <w:lang w:val="es-ES"/>
              </w:rPr>
              <w:t>s y aprobado una nueva ley que afectará la forma en que millones de personas obtienen seguro médico. Estos cambios tendrán un impacto adicional en las comunidades inmigrantes.</w:t>
            </w:r>
          </w:p>
          <w:p w14:paraId="17392422" w14:textId="77777777" w:rsidR="004A21D9" w:rsidRDefault="004A21D9" w:rsidP="001E0A64">
            <w:pPr>
              <w:pStyle w:val="ListParagraph"/>
              <w:rPr>
                <w:lang w:val="es-ES"/>
              </w:rPr>
            </w:pPr>
            <w:r w:rsidRPr="004B3B10">
              <w:rPr>
                <w:lang w:val="es-ES"/>
              </w:rPr>
              <w:t>Una nueva ley federal modifica quiénes pueden recibir créditos fiscales para las primas a través de [M</w:t>
            </w:r>
            <w:r>
              <w:rPr>
                <w:lang w:val="es-ES"/>
              </w:rPr>
              <w:t>ERCADO</w:t>
            </w:r>
            <w:r w:rsidRPr="004B3B10">
              <w:rPr>
                <w:lang w:val="es-ES"/>
              </w:rPr>
              <w:t>] según su estatus migratorio. Algunos de los cambios ya están en vigor y habrá más el próximo año. Para comprender todos los cambios que afectarán a los inmigrantes que viven en [STATE], visite [URL].</w:t>
            </w:r>
          </w:p>
          <w:p w14:paraId="062BDEA2" w14:textId="77777777" w:rsidR="004A21D9" w:rsidRDefault="004A21D9" w:rsidP="001E0A64">
            <w:pPr>
              <w:pStyle w:val="ListParagraph"/>
              <w:rPr>
                <w:lang w:val="es-ES"/>
              </w:rPr>
            </w:pPr>
            <w:r w:rsidRPr="004B3B10">
              <w:rPr>
                <w:lang w:val="es-ES"/>
              </w:rPr>
              <w:t>A partir de</w:t>
            </w:r>
            <w:r>
              <w:rPr>
                <w:lang w:val="es-ES"/>
              </w:rPr>
              <w:t>l</w:t>
            </w:r>
            <w:r w:rsidRPr="004B3B10">
              <w:rPr>
                <w:lang w:val="es-ES"/>
              </w:rPr>
              <w:t xml:space="preserve"> 2026, las personas que no son elegibles para [Medicaid] debido a su estatus migratorio y que ganan por debajo de cierto nivel de ingresos ya no calificarán para créditos fiscales para planes privados a través de [M</w:t>
            </w:r>
            <w:r>
              <w:rPr>
                <w:lang w:val="es-ES"/>
              </w:rPr>
              <w:t>ERCADO</w:t>
            </w:r>
            <w:r w:rsidRPr="004B3B10">
              <w:rPr>
                <w:lang w:val="es-ES"/>
              </w:rPr>
              <w:t>]. Por ejemplo, esto se aplicaría a una persona que gane hasta $15</w:t>
            </w:r>
            <w:r>
              <w:rPr>
                <w:lang w:val="es-ES"/>
              </w:rPr>
              <w:t>.</w:t>
            </w:r>
            <w:r w:rsidRPr="004B3B10">
              <w:rPr>
                <w:lang w:val="es-ES"/>
              </w:rPr>
              <w:t>650 al año o a un hogar de tres personas que gane hasta $26</w:t>
            </w:r>
            <w:r>
              <w:rPr>
                <w:lang w:val="es-ES"/>
              </w:rPr>
              <w:t>.</w:t>
            </w:r>
            <w:r w:rsidRPr="004B3B10">
              <w:rPr>
                <w:lang w:val="es-ES"/>
              </w:rPr>
              <w:t>650. Los inmigrantes con ingresos más altos aún podrían ser elegibles para un crédito fiscal.</w:t>
            </w:r>
          </w:p>
          <w:p w14:paraId="5C089BC1" w14:textId="77777777" w:rsidR="004A21D9" w:rsidRDefault="004A21D9" w:rsidP="001E0A64">
            <w:pPr>
              <w:pStyle w:val="ListParagraph"/>
              <w:rPr>
                <w:lang w:val="es-ES"/>
              </w:rPr>
            </w:pPr>
            <w:r w:rsidRPr="00550997">
              <w:rPr>
                <w:lang w:val="es-ES"/>
              </w:rPr>
              <w:t xml:space="preserve">Debido a cambios en las </w:t>
            </w:r>
            <w:r>
              <w:rPr>
                <w:lang w:val="es-ES"/>
              </w:rPr>
              <w:t>regla</w:t>
            </w:r>
            <w:r w:rsidRPr="00550997">
              <w:rPr>
                <w:lang w:val="es-ES"/>
              </w:rPr>
              <w:t>s federales de elegibilidad, los beneficiarios de DACA ya no se consideran elegibles para la cobertura del Mercado. Como resultado, la cobertura de [MERCADO] para los beneficiarios de DACA en [ESTADO] finalizará el [FECHA]. Es posible que haya otras opciones disponibles, incluyendo a través de [ORGANIZACIÓN LOCAL].</w:t>
            </w:r>
          </w:p>
          <w:p w14:paraId="14DDCD5D" w14:textId="15FBA4A1" w:rsidR="00632CFC" w:rsidRPr="004A21D9" w:rsidRDefault="001F4DF0" w:rsidP="001E0A64">
            <w:pPr>
              <w:pStyle w:val="ListParagraph"/>
              <w:rPr>
                <w:lang w:val="es-ES"/>
              </w:rPr>
            </w:pPr>
            <w:r>
              <w:rPr>
                <w:lang w:val="es-ES"/>
              </w:rPr>
              <w:t>Aunque</w:t>
            </w:r>
            <w:r w:rsidR="004A21D9" w:rsidRPr="00550997">
              <w:rPr>
                <w:lang w:val="es-ES"/>
              </w:rPr>
              <w:t xml:space="preserve"> algunos inmigrantes ya no son elegibles para la cobertura a través de [MERCADO], otros familiares aún podrían calificar. Por ejemplo, los hijos de inmigrantes nacidos en EE. UU. aún pueden obtener [Medicaid] o planes privados con ayuda financiera a través de [MERCADO]. Llame al [XXX-XXX-XXXX] si necesita ayuda para comprender las opciones de su familia</w:t>
            </w:r>
            <w:r w:rsidR="00632CFC" w:rsidRPr="004A21D9">
              <w:rPr>
                <w:lang w:val="es-ES"/>
              </w:rPr>
              <w:t>.</w:t>
            </w:r>
          </w:p>
          <w:p w14:paraId="0F515097" w14:textId="77777777" w:rsidR="00686FF5" w:rsidRDefault="00686FF5" w:rsidP="00686FF5">
            <w:pPr>
              <w:pStyle w:val="Heading3"/>
              <w:outlineLvl w:val="2"/>
              <w:rPr>
                <w:rStyle w:val="eop"/>
                <w:rFonts w:cs="Arial"/>
                <w:lang w:val="es-ES"/>
              </w:rPr>
            </w:pPr>
            <w:r w:rsidRPr="009B3B6F">
              <w:rPr>
                <w:rStyle w:val="eop"/>
                <w:rFonts w:cs="Arial"/>
                <w:lang w:val="es-ES"/>
              </w:rPr>
              <w:t xml:space="preserve">Hogares con Ingresos </w:t>
            </w:r>
            <w:r>
              <w:rPr>
                <w:rStyle w:val="eop"/>
                <w:rFonts w:cs="Arial"/>
                <w:lang w:val="es-ES"/>
              </w:rPr>
              <w:t>Por Encima</w:t>
            </w:r>
            <w:r w:rsidRPr="009B3B6F">
              <w:rPr>
                <w:rStyle w:val="eop"/>
                <w:rFonts w:cs="Arial"/>
                <w:lang w:val="es-ES"/>
              </w:rPr>
              <w:t xml:space="preserve"> </w:t>
            </w:r>
            <w:r>
              <w:rPr>
                <w:rStyle w:val="eop"/>
                <w:rFonts w:cs="Arial"/>
                <w:lang w:val="es-ES"/>
              </w:rPr>
              <w:t>del</w:t>
            </w:r>
            <w:r w:rsidRPr="009B3B6F">
              <w:rPr>
                <w:rStyle w:val="eop"/>
                <w:rFonts w:cs="Arial"/>
                <w:lang w:val="es-ES"/>
              </w:rPr>
              <w:t xml:space="preserve"> 400% del Nivel Federal de Pobreza</w:t>
            </w:r>
          </w:p>
          <w:p w14:paraId="30BD9CBB" w14:textId="77777777" w:rsidR="00CC4E10" w:rsidRDefault="00CC4E10" w:rsidP="001E0A64">
            <w:pPr>
              <w:pStyle w:val="ListParagraph"/>
              <w:rPr>
                <w:lang w:val="es-ES"/>
              </w:rPr>
            </w:pPr>
            <w:r w:rsidRPr="001645AC">
              <w:rPr>
                <w:lang w:val="es-ES"/>
              </w:rPr>
              <w:t>El gobierno federal está eliminando los ahorros para los hogares con ingresos más altos. Por ejemplo, una persona que gane más de $62</w:t>
            </w:r>
            <w:r>
              <w:rPr>
                <w:lang w:val="es-ES"/>
              </w:rPr>
              <w:t>.</w:t>
            </w:r>
            <w:r w:rsidRPr="001645AC">
              <w:rPr>
                <w:lang w:val="es-ES"/>
              </w:rPr>
              <w:t>600 o un hogar de cuatro personas que gane más de $120</w:t>
            </w:r>
            <w:r>
              <w:rPr>
                <w:lang w:val="es-ES"/>
              </w:rPr>
              <w:t>.</w:t>
            </w:r>
            <w:r w:rsidRPr="001645AC">
              <w:rPr>
                <w:lang w:val="es-ES"/>
              </w:rPr>
              <w:t>600 ya no recibirá créditos fiscales para las primas.</w:t>
            </w:r>
          </w:p>
          <w:p w14:paraId="4E766C4C" w14:textId="6B8B8DF5" w:rsidR="00632CFC" w:rsidRPr="00CC4E10" w:rsidRDefault="00CC4E10" w:rsidP="001E0A64">
            <w:pPr>
              <w:pStyle w:val="ListParagraph"/>
              <w:rPr>
                <w:lang w:val="es-ES"/>
              </w:rPr>
            </w:pPr>
            <w:r w:rsidRPr="001645AC">
              <w:rPr>
                <w:lang w:val="es-ES"/>
              </w:rPr>
              <w:t>Incluso si su plan actual cuesta más el próximo año, tiene opciones. Es posible que haya otros planes con primas o costos más bajos cuando reciba atención médica. Tendrá la oportunidad de explorar estos planes y precios durante el período de inscripción abierta</w:t>
            </w:r>
            <w:r w:rsidR="00632CFC" w:rsidRPr="00CC4E10">
              <w:rPr>
                <w:lang w:val="es-ES"/>
              </w:rPr>
              <w:t xml:space="preserve">. </w:t>
            </w:r>
          </w:p>
          <w:p w14:paraId="161F9F9E" w14:textId="77777777" w:rsidR="00D43004" w:rsidRDefault="00D43004" w:rsidP="00632CFC">
            <w:pPr>
              <w:pStyle w:val="Heading2"/>
              <w:outlineLvl w:val="1"/>
              <w:rPr>
                <w:lang w:val="es-PE"/>
              </w:rPr>
            </w:pPr>
          </w:p>
          <w:p w14:paraId="30257EFF" w14:textId="18DDF57E" w:rsidR="00632CFC" w:rsidRPr="00DD62CF" w:rsidRDefault="00632CFC" w:rsidP="00632CFC">
            <w:pPr>
              <w:pStyle w:val="Heading2"/>
              <w:outlineLvl w:val="1"/>
              <w:rPr>
                <w:lang w:val="es-PE"/>
              </w:rPr>
            </w:pPr>
            <w:r w:rsidRPr="00DD62CF">
              <w:rPr>
                <w:lang w:val="es-PE"/>
              </w:rPr>
              <w:lastRenderedPageBreak/>
              <w:t>Policy-Specific Messages</w:t>
            </w:r>
          </w:p>
          <w:p w14:paraId="2985B8E1" w14:textId="4A50E3CD" w:rsidR="00632CFC" w:rsidRPr="003614F2" w:rsidRDefault="003614F2" w:rsidP="00632CFC">
            <w:pPr>
              <w:pStyle w:val="Heading3"/>
              <w:outlineLvl w:val="2"/>
              <w:rPr>
                <w:lang w:val="es-ES"/>
              </w:rPr>
            </w:pPr>
            <w:r w:rsidRPr="00AB447A">
              <w:rPr>
                <w:rStyle w:val="eop"/>
                <w:lang w:val="es-ES"/>
              </w:rPr>
              <w:t xml:space="preserve">Atención de </w:t>
            </w:r>
            <w:r>
              <w:rPr>
                <w:rStyle w:val="eop"/>
                <w:lang w:val="es-ES"/>
              </w:rPr>
              <w:t>A</w:t>
            </w:r>
            <w:r w:rsidRPr="00AB447A">
              <w:rPr>
                <w:rStyle w:val="eop"/>
                <w:lang w:val="es-ES"/>
              </w:rPr>
              <w:t xml:space="preserve">firmación de </w:t>
            </w:r>
            <w:r>
              <w:rPr>
                <w:rStyle w:val="eop"/>
                <w:lang w:val="es-ES"/>
              </w:rPr>
              <w:t>G</w:t>
            </w:r>
            <w:r w:rsidRPr="00AB447A">
              <w:rPr>
                <w:rStyle w:val="eop"/>
                <w:lang w:val="es-ES"/>
              </w:rPr>
              <w:t>énero</w:t>
            </w:r>
            <w:r>
              <w:rPr>
                <w:rStyle w:val="eop"/>
                <w:lang w:val="es-ES"/>
              </w:rPr>
              <w:t xml:space="preserve"> </w:t>
            </w:r>
            <w:r w:rsidRPr="00A06099">
              <w:rPr>
                <w:rStyle w:val="eop"/>
                <w:lang w:val="es-ES"/>
              </w:rPr>
              <w:t>(Si corresponde a su estado y/o as</w:t>
            </w:r>
            <w:r>
              <w:rPr>
                <w:rStyle w:val="eop"/>
                <w:lang w:val="es-ES"/>
              </w:rPr>
              <w:t>eguradoras locale</w:t>
            </w:r>
            <w:r w:rsidRPr="00A06099">
              <w:rPr>
                <w:rStyle w:val="eop"/>
                <w:lang w:val="es-ES"/>
              </w:rPr>
              <w:t>s)</w:t>
            </w:r>
          </w:p>
          <w:p w14:paraId="22F58D07" w14:textId="77777777" w:rsidR="001E0A64" w:rsidRDefault="001E0A64" w:rsidP="001E0A64">
            <w:pPr>
              <w:pStyle w:val="ListParagraph"/>
              <w:rPr>
                <w:lang w:val="es-ES"/>
              </w:rPr>
            </w:pPr>
            <w:r w:rsidRPr="00A06099">
              <w:rPr>
                <w:lang w:val="es-ES"/>
              </w:rPr>
              <w:t xml:space="preserve">Según las nuevas </w:t>
            </w:r>
            <w:r>
              <w:rPr>
                <w:lang w:val="es-ES"/>
              </w:rPr>
              <w:t>regla</w:t>
            </w:r>
            <w:r w:rsidRPr="00A06099">
              <w:rPr>
                <w:lang w:val="es-ES"/>
              </w:rPr>
              <w:t xml:space="preserve">s federales, es posible que algunos planes de salud en [MERCADO] </w:t>
            </w:r>
            <w:r>
              <w:rPr>
                <w:lang w:val="es-ES"/>
              </w:rPr>
              <w:t>ya no cubran</w:t>
            </w:r>
            <w:r w:rsidRPr="00A06099">
              <w:rPr>
                <w:lang w:val="es-ES"/>
              </w:rPr>
              <w:t xml:space="preserve"> </w:t>
            </w:r>
            <w:r>
              <w:rPr>
                <w:lang w:val="es-ES"/>
              </w:rPr>
              <w:t>la atención de afirmación de género.</w:t>
            </w:r>
          </w:p>
          <w:p w14:paraId="41301B1D" w14:textId="77777777" w:rsidR="001E0A64" w:rsidRDefault="001E0A64" w:rsidP="001E0A64">
            <w:pPr>
              <w:pStyle w:val="ListParagraph"/>
              <w:rPr>
                <w:lang w:val="es-ES"/>
              </w:rPr>
            </w:pPr>
            <w:r w:rsidRPr="00A06099">
              <w:rPr>
                <w:lang w:val="es-ES"/>
              </w:rPr>
              <w:t xml:space="preserve">La inscripción abierta es su oportunidad para explorar sus opciones de plan y asegurarse de que los servicios que necesita estén cubiertos. Visite [URL] para consultar qué servicios cubre cada plan. Para ver si un plan cubre </w:t>
            </w:r>
            <w:r>
              <w:rPr>
                <w:lang w:val="es-ES"/>
              </w:rPr>
              <w:t>la atención de afirmación de género</w:t>
            </w:r>
            <w:r w:rsidRPr="00A06099">
              <w:rPr>
                <w:lang w:val="es-ES"/>
              </w:rPr>
              <w:t>, [INSERTAR PASOS ESPECÍFICOS DEL SITIO WEB].</w:t>
            </w:r>
          </w:p>
          <w:p w14:paraId="364EA4E9" w14:textId="6E3099AC" w:rsidR="020E9380" w:rsidRPr="001E0A64" w:rsidRDefault="001E0A64" w:rsidP="001E0A64">
            <w:pPr>
              <w:pStyle w:val="ListParagraph"/>
              <w:rPr>
                <w:rStyle w:val="normaltextrun"/>
                <w:lang w:val="es-ES"/>
              </w:rPr>
            </w:pPr>
            <w:r w:rsidRPr="00A06099">
              <w:rPr>
                <w:lang w:val="es-ES"/>
              </w:rPr>
              <w:t xml:space="preserve">Podemos ayudarle a comprender sus opciones de plan de salud. Contacte a nuestro equipo de </w:t>
            </w:r>
            <w:r>
              <w:rPr>
                <w:lang w:val="es-ES"/>
              </w:rPr>
              <w:t xml:space="preserve">capacitados </w:t>
            </w:r>
            <w:r w:rsidRPr="00A06099">
              <w:rPr>
                <w:lang w:val="es-ES"/>
              </w:rPr>
              <w:t>expertos para revisar sus opciones. Visite [URL] o llame al [XXX-XXX-XXXX] para obtener ayuda gratuita</w:t>
            </w:r>
            <w:r w:rsidR="00632CFC" w:rsidRPr="001E0A64">
              <w:rPr>
                <w:lang w:val="es-ES"/>
              </w:rPr>
              <w:t>.</w:t>
            </w:r>
          </w:p>
        </w:tc>
      </w:tr>
    </w:tbl>
    <w:p w14:paraId="357103FE" w14:textId="77777777" w:rsidR="00103409" w:rsidRDefault="00103409" w:rsidP="00103409">
      <w:pPr>
        <w:pStyle w:val="Heading1"/>
      </w:pPr>
      <w:bookmarkStart w:id="5" w:name="_Toc206084507"/>
      <w:r>
        <w:lastRenderedPageBreak/>
        <w:t>Email Strategy and Template Messages</w:t>
      </w:r>
      <w:bookmarkEnd w:id="5"/>
    </w:p>
    <w:p w14:paraId="5D7BFBFA" w14:textId="27B6E2B9" w:rsidR="00103409" w:rsidRDefault="00103409" w:rsidP="00103409">
      <w:pPr>
        <w:spacing w:after="160"/>
      </w:pPr>
      <w:r>
        <w:t>Health insurance Marketplaces achieved record-breaking enrollment in 202</w:t>
      </w:r>
      <w:r w:rsidR="68ACBA94">
        <w:t>5</w:t>
      </w:r>
      <w:r>
        <w:t xml:space="preserve">, covering more lives than ever before. As open enrollment approaches, retaining enrollees will require targeted outreach. To support enrollees in maintaining coverage, SBMs should implement a phased email campaign that delivers timely, relevant, and actionable information in the months leading up to open enrollment. </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456"/>
        <w:gridCol w:w="3456"/>
      </w:tblGrid>
      <w:tr w:rsidR="00103409" w:rsidRPr="00C72F1B" w14:paraId="6948B0CB" w14:textId="77777777" w:rsidTr="00713219">
        <w:trPr>
          <w:trHeight w:val="711"/>
        </w:trPr>
        <w:tc>
          <w:tcPr>
            <w:tcW w:w="3456" w:type="dxa"/>
            <w:tcBorders>
              <w:right w:val="double" w:sz="4" w:space="0" w:color="FFFFFF" w:themeColor="background1"/>
            </w:tcBorders>
            <w:shd w:val="clear" w:color="auto" w:fill="E6685C"/>
            <w:vAlign w:val="center"/>
          </w:tcPr>
          <w:p w14:paraId="15275439" w14:textId="77777777" w:rsidR="00103409" w:rsidRDefault="00103409" w:rsidP="00764803">
            <w:pPr>
              <w:pStyle w:val="NoSpacing"/>
              <w:rPr>
                <w:rStyle w:val="normaltextrun"/>
                <w:rFonts w:cs="Arial"/>
                <w:b/>
                <w:bCs/>
                <w:color w:val="FFFFFF" w:themeColor="background1"/>
                <w:szCs w:val="22"/>
              </w:rPr>
            </w:pPr>
            <w:r w:rsidRPr="00C72F1B">
              <w:rPr>
                <w:rStyle w:val="normaltextrun"/>
                <w:rFonts w:cs="Arial"/>
                <w:b/>
                <w:bCs/>
                <w:color w:val="FFFFFF" w:themeColor="background1"/>
                <w:szCs w:val="22"/>
              </w:rPr>
              <w:t>Prepare Enrollees for Changes</w:t>
            </w:r>
          </w:p>
          <w:p w14:paraId="4759A3C8" w14:textId="638FB0FC" w:rsidR="00713219" w:rsidRPr="00713219" w:rsidRDefault="00713219" w:rsidP="00764803">
            <w:pPr>
              <w:pStyle w:val="NoSpacing"/>
              <w:rPr>
                <w:rStyle w:val="normaltextrun"/>
                <w:rFonts w:cs="Arial"/>
                <w:color w:val="FFFFFF" w:themeColor="background1"/>
                <w:szCs w:val="22"/>
              </w:rPr>
            </w:pPr>
            <w:r w:rsidRPr="00713219">
              <w:rPr>
                <w:rStyle w:val="normaltextrun"/>
                <w:rFonts w:cs="Arial"/>
                <w:color w:val="FFFFFF" w:themeColor="background1"/>
              </w:rPr>
              <w:t xml:space="preserve">August/Early September </w:t>
            </w:r>
          </w:p>
        </w:tc>
        <w:tc>
          <w:tcPr>
            <w:tcW w:w="3456" w:type="dxa"/>
            <w:tcBorders>
              <w:left w:val="double" w:sz="4" w:space="0" w:color="FFFFFF" w:themeColor="background1"/>
              <w:right w:val="double" w:sz="4" w:space="0" w:color="FFFFFF" w:themeColor="background1"/>
            </w:tcBorders>
            <w:shd w:val="clear" w:color="auto" w:fill="E6685C"/>
            <w:vAlign w:val="center"/>
          </w:tcPr>
          <w:p w14:paraId="0B38CB20" w14:textId="77777777" w:rsidR="00103409" w:rsidRDefault="00103409" w:rsidP="00764803">
            <w:pPr>
              <w:pStyle w:val="NoSpacing"/>
              <w:rPr>
                <w:rStyle w:val="normaltextrun"/>
                <w:rFonts w:cs="Arial"/>
                <w:b/>
                <w:bCs/>
                <w:color w:val="FFFFFF" w:themeColor="background1"/>
                <w:szCs w:val="22"/>
              </w:rPr>
            </w:pPr>
            <w:r w:rsidRPr="00C72F1B">
              <w:rPr>
                <w:rStyle w:val="normaltextrun"/>
                <w:rFonts w:cs="Arial"/>
                <w:b/>
                <w:bCs/>
                <w:color w:val="FFFFFF" w:themeColor="background1"/>
                <w:szCs w:val="22"/>
              </w:rPr>
              <w:t>Prime Enrollees to Shop</w:t>
            </w:r>
          </w:p>
          <w:p w14:paraId="54ED0D77" w14:textId="1BA06377" w:rsidR="00713219" w:rsidRPr="00713219" w:rsidRDefault="00713219" w:rsidP="00764803">
            <w:pPr>
              <w:pStyle w:val="NoSpacing"/>
              <w:rPr>
                <w:rStyle w:val="normaltextrun"/>
                <w:rFonts w:cs="Arial"/>
                <w:color w:val="FFFFFF" w:themeColor="background1"/>
                <w:szCs w:val="22"/>
              </w:rPr>
            </w:pPr>
            <w:r w:rsidRPr="00713219">
              <w:rPr>
                <w:rStyle w:val="normaltextrun"/>
                <w:rFonts w:cs="Arial"/>
                <w:color w:val="FFFFFF" w:themeColor="background1"/>
                <w:szCs w:val="22"/>
              </w:rPr>
              <w:t>Early October</w:t>
            </w:r>
          </w:p>
        </w:tc>
        <w:tc>
          <w:tcPr>
            <w:tcW w:w="3456" w:type="dxa"/>
            <w:tcBorders>
              <w:left w:val="double" w:sz="4" w:space="0" w:color="FFFFFF" w:themeColor="background1"/>
            </w:tcBorders>
            <w:shd w:val="clear" w:color="auto" w:fill="E6685C"/>
            <w:vAlign w:val="center"/>
          </w:tcPr>
          <w:p w14:paraId="758DC7C0" w14:textId="77777777" w:rsidR="00103409" w:rsidRDefault="00103409" w:rsidP="00764803">
            <w:pPr>
              <w:pStyle w:val="NoSpacing"/>
              <w:rPr>
                <w:rStyle w:val="normaltextrun"/>
                <w:rFonts w:cs="Arial"/>
                <w:b/>
                <w:bCs/>
                <w:color w:val="FFFFFF" w:themeColor="background1"/>
                <w:szCs w:val="22"/>
              </w:rPr>
            </w:pPr>
            <w:r w:rsidRPr="00C72F1B">
              <w:rPr>
                <w:rStyle w:val="normaltextrun"/>
                <w:rFonts w:cs="Arial"/>
                <w:b/>
                <w:bCs/>
                <w:color w:val="FFFFFF" w:themeColor="background1"/>
                <w:szCs w:val="22"/>
              </w:rPr>
              <w:t>Drive Early Action</w:t>
            </w:r>
          </w:p>
          <w:p w14:paraId="252A77F5" w14:textId="5753D00E" w:rsidR="00713219" w:rsidRPr="00713219" w:rsidRDefault="00713219" w:rsidP="00764803">
            <w:pPr>
              <w:pStyle w:val="NoSpacing"/>
              <w:rPr>
                <w:rStyle w:val="normaltextrun"/>
                <w:rFonts w:cs="Arial"/>
                <w:color w:val="FFFFFF" w:themeColor="background1"/>
                <w:szCs w:val="22"/>
              </w:rPr>
            </w:pPr>
            <w:r w:rsidRPr="00713219">
              <w:rPr>
                <w:rStyle w:val="normaltextrun"/>
                <w:rFonts w:cs="Arial"/>
                <w:color w:val="FFFFFF" w:themeColor="background1"/>
                <w:szCs w:val="22"/>
              </w:rPr>
              <w:t>Late October</w:t>
            </w:r>
          </w:p>
        </w:tc>
      </w:tr>
      <w:tr w:rsidR="00103409" w:rsidRPr="00C72F1B" w14:paraId="50FAF048" w14:textId="77777777" w:rsidTr="00713219">
        <w:trPr>
          <w:trHeight w:val="1863"/>
        </w:trPr>
        <w:tc>
          <w:tcPr>
            <w:tcW w:w="3456" w:type="dxa"/>
            <w:tcBorders>
              <w:right w:val="double" w:sz="4" w:space="0" w:color="FFFFFF" w:themeColor="background1"/>
            </w:tcBorders>
            <w:shd w:val="clear" w:color="auto" w:fill="F8C0A7"/>
          </w:tcPr>
          <w:p w14:paraId="180EF2C0" w14:textId="21D63890" w:rsidR="00103409" w:rsidRPr="00C72F1B" w:rsidRDefault="00103409" w:rsidP="21286734">
            <w:pPr>
              <w:pStyle w:val="ListParagraph"/>
            </w:pPr>
            <w:r>
              <w:t>Alert enrollees to upcoming federal changes</w:t>
            </w:r>
            <w:r w:rsidR="0B35080A">
              <w:t>.</w:t>
            </w:r>
          </w:p>
          <w:p w14:paraId="10837895" w14:textId="3BB8DBBA" w:rsidR="00103409" w:rsidRPr="00C72F1B" w:rsidRDefault="00103409" w:rsidP="21286734">
            <w:pPr>
              <w:pStyle w:val="ListParagraph"/>
            </w:pPr>
            <w:r>
              <w:t>Direct traffic to updated resources</w:t>
            </w:r>
            <w:r w:rsidR="317172B9">
              <w:t>.</w:t>
            </w:r>
          </w:p>
          <w:p w14:paraId="1EB5B4E3" w14:textId="4C5E4BE3" w:rsidR="00103409" w:rsidRPr="00C72F1B" w:rsidRDefault="00103409" w:rsidP="21286734">
            <w:pPr>
              <w:pStyle w:val="ListParagraph"/>
            </w:pPr>
            <w:r>
              <w:t>Provide clear steps to prepare</w:t>
            </w:r>
            <w:r w:rsidR="25CD829E">
              <w:t>.</w:t>
            </w:r>
          </w:p>
        </w:tc>
        <w:tc>
          <w:tcPr>
            <w:tcW w:w="3456" w:type="dxa"/>
            <w:tcBorders>
              <w:left w:val="double" w:sz="4" w:space="0" w:color="FFFFFF" w:themeColor="background1"/>
              <w:right w:val="double" w:sz="4" w:space="0" w:color="FFFFFF" w:themeColor="background1"/>
            </w:tcBorders>
            <w:shd w:val="clear" w:color="auto" w:fill="F8C0A7"/>
          </w:tcPr>
          <w:p w14:paraId="3BE92A41" w14:textId="4448A0EE" w:rsidR="00103409" w:rsidRPr="00C72F1B" w:rsidRDefault="00103409" w:rsidP="21286734">
            <w:pPr>
              <w:pStyle w:val="ListParagraph"/>
            </w:pPr>
            <w:r>
              <w:t>Announce 2026 plans and prices</w:t>
            </w:r>
            <w:r w:rsidR="14C85454">
              <w:t>.</w:t>
            </w:r>
          </w:p>
          <w:p w14:paraId="7B06C585" w14:textId="427345CC" w:rsidR="00103409" w:rsidRPr="00C72F1B" w:rsidRDefault="00103409" w:rsidP="21286734">
            <w:pPr>
              <w:pStyle w:val="ListParagraph"/>
            </w:pPr>
            <w:r>
              <w:t>Promote window-shopping and estimator tools</w:t>
            </w:r>
            <w:r w:rsidR="436EC733">
              <w:t>.</w:t>
            </w:r>
          </w:p>
          <w:p w14:paraId="4DD46B36" w14:textId="5D842388" w:rsidR="00103409" w:rsidRPr="00C72F1B" w:rsidRDefault="00103409" w:rsidP="21286734">
            <w:pPr>
              <w:pStyle w:val="ListParagraph"/>
            </w:pPr>
            <w:r>
              <w:t>Encourage plan comparison</w:t>
            </w:r>
            <w:r w:rsidR="1C79323C">
              <w:t>.</w:t>
            </w:r>
          </w:p>
        </w:tc>
        <w:tc>
          <w:tcPr>
            <w:tcW w:w="3456" w:type="dxa"/>
            <w:tcBorders>
              <w:left w:val="double" w:sz="4" w:space="0" w:color="FFFFFF" w:themeColor="background1"/>
            </w:tcBorders>
            <w:shd w:val="clear" w:color="auto" w:fill="F8C0A7"/>
          </w:tcPr>
          <w:p w14:paraId="6921E609" w14:textId="4ACF1B95" w:rsidR="00103409" w:rsidRPr="00C72F1B" w:rsidRDefault="00103409" w:rsidP="21286734">
            <w:pPr>
              <w:pStyle w:val="ListParagraph"/>
            </w:pPr>
            <w:r>
              <w:t>Raise awareness of open enrollment dates</w:t>
            </w:r>
            <w:r w:rsidR="11B07CC1">
              <w:t>.</w:t>
            </w:r>
          </w:p>
          <w:p w14:paraId="5482C4EE" w14:textId="21F8E077" w:rsidR="00103409" w:rsidRPr="00C72F1B" w:rsidRDefault="00103409" w:rsidP="21286734">
            <w:pPr>
              <w:pStyle w:val="ListParagraph"/>
            </w:pPr>
            <w:r>
              <w:t>Promote readiness and early shopping</w:t>
            </w:r>
            <w:r w:rsidR="59D896AE">
              <w:t>.</w:t>
            </w:r>
          </w:p>
          <w:p w14:paraId="37C9BA40" w14:textId="6CE283E9" w:rsidR="00103409" w:rsidRPr="00C72F1B" w:rsidRDefault="00103409" w:rsidP="21286734">
            <w:pPr>
              <w:pStyle w:val="ListParagraph"/>
            </w:pPr>
            <w:r>
              <w:t>Highlight enrollment assistance</w:t>
            </w:r>
            <w:r w:rsidR="30F6B6BB">
              <w:t>.</w:t>
            </w:r>
          </w:p>
        </w:tc>
      </w:tr>
    </w:tbl>
    <w:p w14:paraId="43B6F14F" w14:textId="77777777" w:rsidR="00764803" w:rsidRPr="00764803" w:rsidRDefault="00764803" w:rsidP="00764803">
      <w:pPr>
        <w:pStyle w:val="NoSpacing"/>
      </w:pPr>
    </w:p>
    <w:p w14:paraId="5CB1E653" w14:textId="271B801A" w:rsidR="00103409" w:rsidRDefault="006B399F" w:rsidP="00103409">
      <w:pPr>
        <w:spacing w:after="160"/>
      </w:pPr>
      <w:r>
        <w:t>If</w:t>
      </w:r>
      <w:r w:rsidR="00103409">
        <w:t xml:space="preserve"> possible, segment recipients to provide more relevant information. For example:</w:t>
      </w:r>
    </w:p>
    <w:p w14:paraId="2FDDDDB0" w14:textId="19A049B9" w:rsidR="00103409" w:rsidRDefault="00103409" w:rsidP="00103409">
      <w:pPr>
        <w:pStyle w:val="ListParagraph"/>
      </w:pPr>
      <w:r>
        <w:t xml:space="preserve">Enrollees with DACA status: </w:t>
      </w:r>
      <w:r w:rsidR="00DA467D">
        <w:t>e</w:t>
      </w:r>
      <w:r>
        <w:t>xclude from emails promoting plan shopping.</w:t>
      </w:r>
    </w:p>
    <w:p w14:paraId="6D8E731D" w14:textId="37CCAEF5" w:rsidR="00103409" w:rsidRDefault="00103409" w:rsidP="00103409">
      <w:pPr>
        <w:pStyle w:val="ListParagraph"/>
      </w:pPr>
      <w:r>
        <w:t xml:space="preserve">Enrollees with household incomes above 400% FPL: </w:t>
      </w:r>
      <w:r w:rsidR="00540CE7">
        <w:t>s</w:t>
      </w:r>
      <w:r>
        <w:t>end details about the expiration of tax credits.</w:t>
      </w:r>
    </w:p>
    <w:p w14:paraId="0CE318FF" w14:textId="48FD08D1" w:rsidR="00103409" w:rsidRDefault="00103409" w:rsidP="00103409">
      <w:pPr>
        <w:pStyle w:val="ListParagraph"/>
      </w:pPr>
      <w:r>
        <w:t xml:space="preserve">2024 enrollees who received tax credits: </w:t>
      </w:r>
      <w:r w:rsidR="003617E0">
        <w:t>r</w:t>
      </w:r>
      <w:r>
        <w:t xml:space="preserve">emind them </w:t>
      </w:r>
      <w:r w:rsidR="57CBF4C8">
        <w:t xml:space="preserve">to </w:t>
      </w:r>
      <w:r>
        <w:t>file their 2024 taxes.</w:t>
      </w:r>
    </w:p>
    <w:p w14:paraId="0BA95CA1" w14:textId="7F42B30B" w:rsidR="00103409" w:rsidRDefault="00103409" w:rsidP="00103409">
      <w:pPr>
        <w:spacing w:after="160"/>
      </w:pPr>
      <w:r>
        <w:t>The email templates provided in this toolkit are intended as guidance. Content should be adapted to align with each Marketplace’s voice, cadence, and formatting standards. Email performance can be enhanced through A/B testing of subject lines, inclusion of graphics and buttons, and use of personalization features within customer relationship management (CRM) systems.</w:t>
      </w:r>
    </w:p>
    <w:p w14:paraId="345FB35A" w14:textId="77777777" w:rsidR="00F322DE" w:rsidRDefault="00F322DE" w:rsidP="00F322DE">
      <w:pPr>
        <w:pStyle w:val="Heading3"/>
      </w:pPr>
      <w:r>
        <w:t xml:space="preserve">Prepare </w:t>
      </w:r>
      <w:r w:rsidRPr="00713219">
        <w:t>Enrollees</w:t>
      </w:r>
      <w:r>
        <w:t xml:space="preserve"> for Changes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58" w:type="dxa"/>
          <w:right w:w="144" w:type="dxa"/>
        </w:tblCellMar>
        <w:tblLook w:val="04A0" w:firstRow="1" w:lastRow="0" w:firstColumn="1" w:lastColumn="0" w:noHBand="0" w:noVBand="1"/>
      </w:tblPr>
      <w:tblGrid>
        <w:gridCol w:w="10260"/>
      </w:tblGrid>
      <w:tr w:rsidR="334B0503" w14:paraId="2016A06E" w14:textId="77777777" w:rsidTr="00433E84">
        <w:trPr>
          <w:trHeight w:val="300"/>
        </w:trPr>
        <w:tc>
          <w:tcPr>
            <w:tcW w:w="10260" w:type="dxa"/>
            <w:shd w:val="clear" w:color="auto" w:fill="5F295C"/>
            <w:tcMar>
              <w:top w:w="144" w:type="dxa"/>
              <w:left w:w="144" w:type="dxa"/>
              <w:bottom w:w="144" w:type="dxa"/>
              <w:right w:w="144" w:type="dxa"/>
            </w:tcMar>
          </w:tcPr>
          <w:p w14:paraId="4F9AB50E" w14:textId="5B6953E4" w:rsidR="334B0503" w:rsidRPr="000D089D" w:rsidRDefault="000D089D" w:rsidP="000D089D">
            <w:pPr>
              <w:pStyle w:val="Heading4"/>
              <w:spacing w:after="0"/>
              <w:outlineLvl w:val="3"/>
              <w:rPr>
                <w:b/>
                <w:bCs/>
              </w:rPr>
            </w:pPr>
            <w:r w:rsidRPr="000D089D">
              <w:rPr>
                <w:b/>
                <w:bCs/>
                <w:color w:val="FFFFFF" w:themeColor="background1"/>
              </w:rPr>
              <w:t>Subject Line Options</w:t>
            </w:r>
          </w:p>
        </w:tc>
      </w:tr>
      <w:tr w:rsidR="78A54F34" w:rsidRPr="00D4360B" w14:paraId="7872C980" w14:textId="77777777" w:rsidTr="00433E84">
        <w:trPr>
          <w:trHeight w:val="300"/>
        </w:trPr>
        <w:tc>
          <w:tcPr>
            <w:tcW w:w="10260" w:type="dxa"/>
            <w:shd w:val="clear" w:color="auto" w:fill="D9C8DE"/>
            <w:tcMar>
              <w:top w:w="144" w:type="dxa"/>
              <w:left w:w="144" w:type="dxa"/>
              <w:bottom w:w="58" w:type="dxa"/>
              <w:right w:w="144" w:type="dxa"/>
            </w:tcMar>
          </w:tcPr>
          <w:p w14:paraId="0109D7AD" w14:textId="56AF946C" w:rsidR="7ECA11C2" w:rsidRPr="008C22C0" w:rsidRDefault="00972D8C" w:rsidP="483F81BE">
            <w:pPr>
              <w:spacing w:after="160"/>
              <w:rPr>
                <w:lang w:val="es-PE"/>
              </w:rPr>
            </w:pPr>
            <w:r w:rsidRPr="008C22C0">
              <w:rPr>
                <w:lang w:val="es-PE"/>
              </w:rPr>
              <w:lastRenderedPageBreak/>
              <w:t>Importante: Ya Se Aproximan Cambios en el Seguro Médico</w:t>
            </w:r>
          </w:p>
          <w:p w14:paraId="5DB23C5D" w14:textId="77777777" w:rsidR="004C3292" w:rsidRPr="008C22C0" w:rsidRDefault="004C3292" w:rsidP="000D089D">
            <w:pPr>
              <w:spacing w:after="160"/>
              <w:rPr>
                <w:lang w:val="es-PE"/>
              </w:rPr>
            </w:pPr>
            <w:r w:rsidRPr="008C22C0">
              <w:rPr>
                <w:lang w:val="es-PE"/>
              </w:rPr>
              <w:t>Prepárese: Qué Está Cambiando en la Cobertura para el 2026</w:t>
            </w:r>
          </w:p>
          <w:p w14:paraId="4A5ABE13" w14:textId="70611EB2" w:rsidR="78A54F34" w:rsidRPr="008C22C0" w:rsidRDefault="00EE731C" w:rsidP="000D089D">
            <w:pPr>
              <w:spacing w:after="160"/>
              <w:rPr>
                <w:lang w:val="es-PE"/>
              </w:rPr>
            </w:pPr>
            <w:r w:rsidRPr="008C22C0">
              <w:rPr>
                <w:lang w:val="es-PE"/>
              </w:rPr>
              <w:t>Mantenga Su Cobertura: Lo Que Necesita Saber Antes Que Comience la Inscripción Abierta</w:t>
            </w:r>
          </w:p>
        </w:tc>
      </w:tr>
      <w:tr w:rsidR="78A54F34" w14:paraId="05D72FA5" w14:textId="77777777" w:rsidTr="00433E84">
        <w:trPr>
          <w:trHeight w:val="300"/>
        </w:trPr>
        <w:tc>
          <w:tcPr>
            <w:tcW w:w="10260" w:type="dxa"/>
            <w:shd w:val="clear" w:color="auto" w:fill="5F295C"/>
            <w:tcMar>
              <w:top w:w="144" w:type="dxa"/>
              <w:left w:w="144" w:type="dxa"/>
              <w:bottom w:w="144" w:type="dxa"/>
              <w:right w:w="144" w:type="dxa"/>
            </w:tcMar>
          </w:tcPr>
          <w:p w14:paraId="3EA3404B" w14:textId="24FD31B6" w:rsidR="78A54F34" w:rsidRPr="000D089D" w:rsidRDefault="000D089D" w:rsidP="00E5532E">
            <w:pPr>
              <w:rPr>
                <w:b/>
                <w:bCs/>
                <w:color w:val="FFFFFF" w:themeColor="background1"/>
              </w:rPr>
            </w:pPr>
            <w:r w:rsidRPr="000D089D">
              <w:rPr>
                <w:b/>
                <w:bCs/>
                <w:color w:val="FFFFFF" w:themeColor="background1"/>
              </w:rPr>
              <w:t>Email Body</w:t>
            </w:r>
          </w:p>
        </w:tc>
      </w:tr>
      <w:tr w:rsidR="78A54F34" w:rsidRPr="00D4360B" w14:paraId="0940B70F" w14:textId="77777777" w:rsidTr="00433E84">
        <w:trPr>
          <w:trHeight w:val="300"/>
        </w:trPr>
        <w:tc>
          <w:tcPr>
            <w:tcW w:w="10260" w:type="dxa"/>
            <w:shd w:val="clear" w:color="auto" w:fill="D9C8DE"/>
            <w:tcMar>
              <w:top w:w="144" w:type="dxa"/>
              <w:left w:w="144" w:type="dxa"/>
              <w:bottom w:w="58" w:type="dxa"/>
              <w:right w:w="144" w:type="dxa"/>
            </w:tcMar>
          </w:tcPr>
          <w:p w14:paraId="3D187283" w14:textId="3166A827" w:rsidR="004E00D3" w:rsidRPr="008C22C0" w:rsidRDefault="004E00D3" w:rsidP="000D089D">
            <w:pPr>
              <w:spacing w:after="160"/>
              <w:rPr>
                <w:b/>
                <w:bCs/>
                <w:lang w:val="es-PE"/>
              </w:rPr>
            </w:pPr>
            <w:r w:rsidRPr="008C22C0">
              <w:rPr>
                <w:b/>
                <w:bCs/>
                <w:lang w:val="es-PE"/>
              </w:rPr>
              <w:t>Se avecinan grandes cambios en los seguros médicos en 2026.</w:t>
            </w:r>
          </w:p>
          <w:p w14:paraId="23C51E02" w14:textId="7DF6BFFD" w:rsidR="001035C9" w:rsidRPr="008C22C0" w:rsidRDefault="001035C9" w:rsidP="001035C9">
            <w:pPr>
              <w:spacing w:after="160"/>
              <w:rPr>
                <w:lang w:val="es-PE"/>
              </w:rPr>
            </w:pPr>
            <w:r w:rsidRPr="008C22C0">
              <w:rPr>
                <w:lang w:val="es-PE"/>
              </w:rPr>
              <w:t>Las nuevas reglas federales afectarán la forma de solicitar o renovar su cobertura, qué cubre y cuánto cuesta. Tras los cambios federales, prevemos que los costos de los planes de salud aumenten en el 2026.</w:t>
            </w:r>
          </w:p>
          <w:p w14:paraId="62669691" w14:textId="77777777" w:rsidR="001035C9" w:rsidRPr="008C22C0" w:rsidRDefault="001035C9" w:rsidP="001035C9">
            <w:pPr>
              <w:spacing w:after="160"/>
              <w:rPr>
                <w:lang w:val="es-PE"/>
              </w:rPr>
            </w:pPr>
            <w:r w:rsidRPr="008C22C0">
              <w:rPr>
                <w:lang w:val="es-PE"/>
              </w:rPr>
              <w:t>Aunque no hay cambios en su plan de salud para el 2025, es importante comenzar a prepararse desde ahora.</w:t>
            </w:r>
          </w:p>
          <w:p w14:paraId="616DAD35" w14:textId="48D3FE0E" w:rsidR="000D089D" w:rsidRPr="008C22C0" w:rsidRDefault="00F940EE" w:rsidP="001035C9">
            <w:pPr>
              <w:spacing w:after="160"/>
              <w:rPr>
                <w:b/>
                <w:bCs/>
                <w:lang w:val="es-PE"/>
              </w:rPr>
            </w:pPr>
            <w:r w:rsidRPr="008C22C0">
              <w:rPr>
                <w:b/>
                <w:bCs/>
                <w:lang w:val="es-PE"/>
              </w:rPr>
              <w:t>Cómo prepararse</w:t>
            </w:r>
            <w:r w:rsidR="000D089D" w:rsidRPr="008C22C0">
              <w:rPr>
                <w:b/>
                <w:bCs/>
                <w:lang w:val="es-PE"/>
              </w:rPr>
              <w:t>:</w:t>
            </w:r>
          </w:p>
          <w:p w14:paraId="048FD1DF" w14:textId="77777777" w:rsidR="001D3FB1" w:rsidRPr="008C22C0" w:rsidRDefault="001D3FB1" w:rsidP="001D3FB1">
            <w:pPr>
              <w:pStyle w:val="ListParagraph"/>
              <w:rPr>
                <w:lang w:val="es-PE"/>
              </w:rPr>
            </w:pPr>
            <w:r w:rsidRPr="008C22C0">
              <w:rPr>
                <w:lang w:val="es-PE"/>
              </w:rPr>
              <w:t>Vea qué está cambiando: Visite [URL] para obtener un resumen de los cambios federales y lo que significan para usted.</w:t>
            </w:r>
          </w:p>
          <w:p w14:paraId="1C72FD41" w14:textId="77777777" w:rsidR="001D3FB1" w:rsidRPr="008C22C0" w:rsidRDefault="001D3FB1" w:rsidP="001D3FB1">
            <w:pPr>
              <w:pStyle w:val="ListParagraph"/>
              <w:rPr>
                <w:lang w:val="es-PE"/>
              </w:rPr>
            </w:pPr>
            <w:r w:rsidRPr="008C22C0">
              <w:rPr>
                <w:lang w:val="es-PE"/>
              </w:rPr>
              <w:t>Presente su declaración de impuestos del 2024 si aún no lo ha hecho: Si recibió créditos fiscales por su plan de salud del 2024, debe presentar su declaración de impuestos del 2024 e incluir el Formulario 8962 del IRS. Si omite este paso, no será elegible para los ahorros en las primas en el 2026.</w:t>
            </w:r>
          </w:p>
          <w:p w14:paraId="026A64A8" w14:textId="77777777" w:rsidR="001D3FB1" w:rsidRPr="008C22C0" w:rsidRDefault="001D3FB1" w:rsidP="001D3FB1">
            <w:pPr>
              <w:pStyle w:val="ListParagraph"/>
              <w:rPr>
                <w:lang w:val="es-PE"/>
              </w:rPr>
            </w:pPr>
            <w:r w:rsidRPr="008C22C0">
              <w:rPr>
                <w:lang w:val="es-PE"/>
              </w:rPr>
              <w:t>Esté atento a los avisos: Algunas personas podrían tener que presentar documentos adicionales este año.</w:t>
            </w:r>
          </w:p>
          <w:p w14:paraId="033EDAA7" w14:textId="3DE0FE83" w:rsidR="00823CDF" w:rsidRPr="008C22C0" w:rsidRDefault="00823CDF" w:rsidP="00823CDF">
            <w:pPr>
              <w:spacing w:after="160"/>
              <w:rPr>
                <w:lang w:val="es-PE"/>
              </w:rPr>
            </w:pPr>
            <w:r w:rsidRPr="008C22C0">
              <w:rPr>
                <w:lang w:val="es-PE"/>
              </w:rPr>
              <w:t xml:space="preserve">Estamos aquí para ayudarle a comprender qué está cambiando y a mantener su cobertura. </w:t>
            </w:r>
          </w:p>
          <w:p w14:paraId="7D2B15AE" w14:textId="2B442B55" w:rsidR="00823CDF" w:rsidRPr="008C22C0" w:rsidRDefault="00823CDF" w:rsidP="00823CDF">
            <w:pPr>
              <w:spacing w:after="160"/>
              <w:rPr>
                <w:lang w:val="es-PE"/>
              </w:rPr>
            </w:pPr>
            <w:r w:rsidRPr="008C22C0">
              <w:rPr>
                <w:lang w:val="es-PE"/>
              </w:rPr>
              <w:t xml:space="preserve">La mayoría de los cambios entrarán en vigor durante el período de inscripción abierta, que se extiende del </w:t>
            </w:r>
            <w:r w:rsidR="008219A8" w:rsidRPr="008C22C0">
              <w:rPr>
                <w:lang w:val="es-PE"/>
              </w:rPr>
              <w:t>[</w:t>
            </w:r>
            <w:r w:rsidRPr="008C22C0">
              <w:rPr>
                <w:lang w:val="es-PE"/>
              </w:rPr>
              <w:t>1 de noviembre del 2025 al 15 de enero del 2026</w:t>
            </w:r>
            <w:r w:rsidR="008219A8" w:rsidRPr="008C22C0">
              <w:rPr>
                <w:lang w:val="es-PE"/>
              </w:rPr>
              <w:t>]</w:t>
            </w:r>
            <w:r w:rsidRPr="008C22C0">
              <w:rPr>
                <w:lang w:val="es-PE"/>
              </w:rPr>
              <w:t>. Esta es su oportunidad de explorar sus opciones y elegir el plan que mejor se adapte a sus necesidades y presupuesto.</w:t>
            </w:r>
          </w:p>
          <w:p w14:paraId="2F814ECD" w14:textId="3F3835A3" w:rsidR="78A54F34" w:rsidRPr="00DD62CF" w:rsidRDefault="008219A8" w:rsidP="00823CDF">
            <w:pPr>
              <w:spacing w:after="160"/>
              <w:rPr>
                <w:b/>
                <w:bCs/>
                <w:lang w:val="es-PE"/>
              </w:rPr>
            </w:pPr>
            <w:r w:rsidRPr="008C22C0">
              <w:rPr>
                <w:b/>
                <w:bCs/>
                <w:lang w:val="es-PE"/>
              </w:rPr>
              <w:t>Botón: Infórmese Más Sobre los Cambios</w:t>
            </w:r>
          </w:p>
        </w:tc>
      </w:tr>
    </w:tbl>
    <w:p w14:paraId="75DEF9D2" w14:textId="4B3320AB" w:rsidR="78A54F34" w:rsidRPr="00DD62CF" w:rsidRDefault="78A54F34" w:rsidP="78A54F34">
      <w:pPr>
        <w:rPr>
          <w:lang w:val="es-PE"/>
        </w:rPr>
      </w:pPr>
    </w:p>
    <w:p w14:paraId="42426149" w14:textId="77777777" w:rsidR="00F322DE" w:rsidRDefault="00F322DE" w:rsidP="00F322DE">
      <w:pPr>
        <w:pStyle w:val="Heading3"/>
      </w:pPr>
      <w:r>
        <w:t>Prime Enrollees to Shop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58" w:type="dxa"/>
          <w:right w:w="144" w:type="dxa"/>
        </w:tblCellMar>
        <w:tblLook w:val="04A0" w:firstRow="1" w:lastRow="0" w:firstColumn="1" w:lastColumn="0" w:noHBand="0" w:noVBand="1"/>
      </w:tblPr>
      <w:tblGrid>
        <w:gridCol w:w="10260"/>
      </w:tblGrid>
      <w:tr w:rsidR="000D089D" w:rsidRPr="000D089D" w14:paraId="7FAB1EAE" w14:textId="77777777" w:rsidTr="00433E84">
        <w:trPr>
          <w:trHeight w:val="300"/>
        </w:trPr>
        <w:tc>
          <w:tcPr>
            <w:tcW w:w="10260" w:type="dxa"/>
            <w:shd w:val="clear" w:color="auto" w:fill="5F295C"/>
            <w:tcMar>
              <w:top w:w="144" w:type="dxa"/>
              <w:left w:w="144" w:type="dxa"/>
              <w:bottom w:w="144" w:type="dxa"/>
              <w:right w:w="144" w:type="dxa"/>
            </w:tcMar>
          </w:tcPr>
          <w:p w14:paraId="1C86EFD2" w14:textId="77777777" w:rsidR="000D089D" w:rsidRPr="000D089D" w:rsidRDefault="000D089D">
            <w:pPr>
              <w:pStyle w:val="Heading4"/>
              <w:spacing w:after="0"/>
              <w:outlineLvl w:val="3"/>
              <w:rPr>
                <w:b/>
                <w:bCs/>
              </w:rPr>
            </w:pPr>
            <w:r w:rsidRPr="000D089D">
              <w:rPr>
                <w:b/>
                <w:bCs/>
                <w:color w:val="FFFFFF" w:themeColor="background1"/>
              </w:rPr>
              <w:t>Subject Line Options</w:t>
            </w:r>
          </w:p>
        </w:tc>
      </w:tr>
      <w:tr w:rsidR="000D089D" w:rsidRPr="00D4360B" w14:paraId="49958BE8" w14:textId="77777777" w:rsidTr="00433E84">
        <w:trPr>
          <w:trHeight w:val="300"/>
        </w:trPr>
        <w:tc>
          <w:tcPr>
            <w:tcW w:w="10260" w:type="dxa"/>
            <w:shd w:val="clear" w:color="auto" w:fill="D9C8DE"/>
            <w:tcMar>
              <w:top w:w="144" w:type="dxa"/>
              <w:left w:w="144" w:type="dxa"/>
              <w:bottom w:w="58" w:type="dxa"/>
              <w:right w:w="144" w:type="dxa"/>
            </w:tcMar>
          </w:tcPr>
          <w:p w14:paraId="0703900F" w14:textId="77777777" w:rsidR="003134F5" w:rsidRPr="008C22C0" w:rsidRDefault="003134F5" w:rsidP="003134F5">
            <w:pPr>
              <w:spacing w:after="160"/>
              <w:rPr>
                <w:lang w:val="es-PE"/>
              </w:rPr>
            </w:pPr>
            <w:r w:rsidRPr="008C22C0">
              <w:rPr>
                <w:lang w:val="es-PE"/>
              </w:rPr>
              <w:t>Vea Hoy un Adelanto de los Planes de Salud y Precios para el 2026</w:t>
            </w:r>
          </w:p>
          <w:p w14:paraId="2EBA5403" w14:textId="77777777" w:rsidR="003134F5" w:rsidRPr="008C22C0" w:rsidRDefault="003134F5" w:rsidP="003134F5">
            <w:pPr>
              <w:spacing w:after="160"/>
              <w:rPr>
                <w:lang w:val="es-PE"/>
              </w:rPr>
            </w:pPr>
            <w:r w:rsidRPr="008C22C0">
              <w:rPr>
                <w:lang w:val="es-PE"/>
              </w:rPr>
              <w:t>Los Planes de Salud del 2026 Ya Están Aquí: Comience a Comparar Ahora</w:t>
            </w:r>
          </w:p>
          <w:p w14:paraId="1416CBCF" w14:textId="3D35B249" w:rsidR="000D089D" w:rsidRPr="00DD62CF" w:rsidRDefault="003134F5" w:rsidP="003134F5">
            <w:pPr>
              <w:spacing w:after="160"/>
              <w:rPr>
                <w:lang w:val="es-PE"/>
              </w:rPr>
            </w:pPr>
            <w:r w:rsidRPr="008C22C0">
              <w:rPr>
                <w:lang w:val="es-PE"/>
              </w:rPr>
              <w:t>Descubra las Novedades: Planes de Salud y Precios para el 2026</w:t>
            </w:r>
          </w:p>
        </w:tc>
      </w:tr>
      <w:tr w:rsidR="000D089D" w:rsidRPr="000D089D" w14:paraId="6EE0EB2F" w14:textId="77777777" w:rsidTr="00433E84">
        <w:trPr>
          <w:trHeight w:val="300"/>
        </w:trPr>
        <w:tc>
          <w:tcPr>
            <w:tcW w:w="10260" w:type="dxa"/>
            <w:shd w:val="clear" w:color="auto" w:fill="5F295C"/>
            <w:tcMar>
              <w:top w:w="144" w:type="dxa"/>
              <w:left w:w="144" w:type="dxa"/>
              <w:bottom w:w="144" w:type="dxa"/>
              <w:right w:w="144" w:type="dxa"/>
            </w:tcMar>
          </w:tcPr>
          <w:p w14:paraId="0925169B" w14:textId="77777777" w:rsidR="000D089D" w:rsidRPr="000D089D" w:rsidRDefault="000D089D">
            <w:pPr>
              <w:spacing w:after="0"/>
              <w:rPr>
                <w:b/>
                <w:bCs/>
                <w:color w:val="FFFFFF" w:themeColor="background1"/>
              </w:rPr>
            </w:pPr>
            <w:r w:rsidRPr="000D089D">
              <w:rPr>
                <w:b/>
                <w:bCs/>
                <w:color w:val="FFFFFF" w:themeColor="background1"/>
              </w:rPr>
              <w:t>Email Body</w:t>
            </w:r>
          </w:p>
        </w:tc>
      </w:tr>
      <w:tr w:rsidR="000D089D" w:rsidRPr="00D4360B" w14:paraId="4995B7F0" w14:textId="77777777" w:rsidTr="00433E84">
        <w:trPr>
          <w:trHeight w:val="300"/>
        </w:trPr>
        <w:tc>
          <w:tcPr>
            <w:tcW w:w="10260" w:type="dxa"/>
            <w:shd w:val="clear" w:color="auto" w:fill="D9C8DE"/>
            <w:tcMar>
              <w:top w:w="144" w:type="dxa"/>
              <w:left w:w="144" w:type="dxa"/>
              <w:bottom w:w="58" w:type="dxa"/>
              <w:right w:w="144" w:type="dxa"/>
            </w:tcMar>
          </w:tcPr>
          <w:p w14:paraId="5A6132A6" w14:textId="77777777" w:rsidR="004E4A53" w:rsidRPr="008C22C0" w:rsidRDefault="004E4A53" w:rsidP="004E4A53">
            <w:pPr>
              <w:spacing w:after="160"/>
              <w:rPr>
                <w:b/>
                <w:bCs/>
                <w:lang w:val="es-PE"/>
              </w:rPr>
            </w:pPr>
            <w:r w:rsidRPr="008C22C0">
              <w:rPr>
                <w:b/>
                <w:bCs/>
                <w:lang w:val="es-PE"/>
              </w:rPr>
              <w:t>Ya están disponibles los nuevos planes de salud y precios para el 2026.</w:t>
            </w:r>
          </w:p>
          <w:p w14:paraId="5DE0EEC8" w14:textId="77777777" w:rsidR="004E4A53" w:rsidRPr="008C22C0" w:rsidRDefault="004E4A53" w:rsidP="004E4A53">
            <w:pPr>
              <w:spacing w:after="160"/>
              <w:rPr>
                <w:lang w:val="es-PE"/>
              </w:rPr>
            </w:pPr>
            <w:r w:rsidRPr="008C22C0">
              <w:rPr>
                <w:lang w:val="es-PE"/>
              </w:rPr>
              <w:t>Debido a los recientes cambios federales, algunos planes podrían costar más u ofrecer beneficios diferentes a los del año pasado. Empiece hoy mismo a explorar sus opciones para aprovechar al máximo su plan de salud para el 2026.</w:t>
            </w:r>
          </w:p>
          <w:p w14:paraId="19355EC0" w14:textId="77777777" w:rsidR="004E4A53" w:rsidRPr="008C22C0" w:rsidRDefault="004E4A53" w:rsidP="004E4A53">
            <w:pPr>
              <w:spacing w:after="160"/>
              <w:rPr>
                <w:b/>
                <w:bCs/>
                <w:lang w:val="es-PE"/>
              </w:rPr>
            </w:pPr>
            <w:r w:rsidRPr="008C22C0">
              <w:rPr>
                <w:b/>
                <w:bCs/>
                <w:lang w:val="es-PE"/>
              </w:rPr>
              <w:t>Utilice nuestra [HERRAMIENTA PARA CALCULAR COSTOS].</w:t>
            </w:r>
          </w:p>
          <w:p w14:paraId="2F80BB66" w14:textId="77777777" w:rsidR="004E4A53" w:rsidRPr="00D5261E" w:rsidRDefault="004E4A53" w:rsidP="00D5261E">
            <w:pPr>
              <w:pStyle w:val="ListParagraph"/>
              <w:numPr>
                <w:ilvl w:val="0"/>
                <w:numId w:val="28"/>
              </w:numPr>
              <w:spacing w:after="160"/>
              <w:rPr>
                <w:lang w:val="es-PE"/>
              </w:rPr>
            </w:pPr>
            <w:r w:rsidRPr="00D5261E">
              <w:rPr>
                <w:lang w:val="es-PE"/>
              </w:rPr>
              <w:lastRenderedPageBreak/>
              <w:t>Compare planes y precios: podría encontrar otro plan que se adapte mejor a sus necesidades de salud y presupuesto.</w:t>
            </w:r>
          </w:p>
          <w:p w14:paraId="78A2151D" w14:textId="77777777" w:rsidR="004E4A53" w:rsidRPr="00D5261E" w:rsidRDefault="004E4A53" w:rsidP="00D5261E">
            <w:pPr>
              <w:pStyle w:val="ListParagraph"/>
              <w:numPr>
                <w:ilvl w:val="0"/>
                <w:numId w:val="28"/>
              </w:numPr>
              <w:spacing w:after="160"/>
              <w:rPr>
                <w:lang w:val="es-PE"/>
              </w:rPr>
            </w:pPr>
            <w:r w:rsidRPr="00D5261E">
              <w:rPr>
                <w:lang w:val="es-PE"/>
              </w:rPr>
              <w:t>Consulte su elegibilidad para ahorros: muchos seguirán calificando para recibir asistencia financiera para el seguro médico, incluso con la finalización de algunos ahorros federales.</w:t>
            </w:r>
          </w:p>
          <w:p w14:paraId="7D10EA4D" w14:textId="77777777" w:rsidR="004E4A53" w:rsidRPr="008C22C0" w:rsidRDefault="004E4A53" w:rsidP="004E4A53">
            <w:pPr>
              <w:spacing w:after="160"/>
              <w:rPr>
                <w:b/>
                <w:bCs/>
                <w:lang w:val="es-PE"/>
              </w:rPr>
            </w:pPr>
            <w:r w:rsidRPr="008C22C0">
              <w:rPr>
                <w:b/>
                <w:bCs/>
                <w:lang w:val="es-PE"/>
              </w:rPr>
              <w:t>Botón: Compare Planes Ahora</w:t>
            </w:r>
          </w:p>
          <w:p w14:paraId="58E5D5BC" w14:textId="0072B075" w:rsidR="004E4A53" w:rsidRPr="008C22C0" w:rsidRDefault="004E4A53" w:rsidP="004E4A53">
            <w:pPr>
              <w:spacing w:after="160"/>
              <w:rPr>
                <w:lang w:val="es-PE"/>
              </w:rPr>
            </w:pPr>
            <w:r w:rsidRPr="008C22C0">
              <w:rPr>
                <w:lang w:val="es-PE"/>
              </w:rPr>
              <w:t>La inscripción abierta es su oportunidad de seleccionar un plan que se ajuste a sus necesidades y presupuesto. Empiece hoy mismo a explorar sus opciones. La inscripción abierta se extiende del [1 de noviembre del 2025 al 15 de enero del 2026].</w:t>
            </w:r>
          </w:p>
          <w:p w14:paraId="04458449" w14:textId="77777777" w:rsidR="004E4A53" w:rsidRPr="008C22C0" w:rsidRDefault="004E4A53" w:rsidP="004E4A53">
            <w:pPr>
              <w:spacing w:after="160"/>
              <w:rPr>
                <w:b/>
                <w:bCs/>
                <w:lang w:val="es-PE"/>
              </w:rPr>
            </w:pPr>
            <w:r w:rsidRPr="008C22C0">
              <w:rPr>
                <w:b/>
                <w:bCs/>
                <w:lang w:val="es-PE"/>
              </w:rPr>
              <w:t>¿Necesita ayuda?</w:t>
            </w:r>
          </w:p>
          <w:p w14:paraId="4B71033A" w14:textId="79F0A913" w:rsidR="000D089D" w:rsidRPr="00DD62CF" w:rsidRDefault="004E4A53" w:rsidP="004E4A53">
            <w:pPr>
              <w:spacing w:after="160"/>
              <w:rPr>
                <w:lang w:val="es-PE"/>
              </w:rPr>
            </w:pPr>
            <w:r w:rsidRPr="008C22C0">
              <w:rPr>
                <w:lang w:val="es-PE"/>
              </w:rPr>
              <w:t>Hay asistencia gratuita disponible. Estamos aquí para ayudarle a comprender sus opciones. Visite [URL] o llame al [XXX-XXX-XXXX] para hablar con un experto capacitado.</w:t>
            </w:r>
          </w:p>
        </w:tc>
      </w:tr>
    </w:tbl>
    <w:p w14:paraId="4F32DB42" w14:textId="77777777" w:rsidR="00433E84" w:rsidRPr="00DD62CF" w:rsidRDefault="00433E84" w:rsidP="00F322DE">
      <w:pPr>
        <w:pStyle w:val="Heading3"/>
        <w:rPr>
          <w:lang w:val="es-PE"/>
        </w:rPr>
      </w:pPr>
    </w:p>
    <w:p w14:paraId="52C89A79" w14:textId="77777777" w:rsidR="00F322DE" w:rsidRDefault="00F322DE" w:rsidP="00F322DE">
      <w:pPr>
        <w:pStyle w:val="Heading3"/>
      </w:pPr>
      <w:r>
        <w:t>Drive Early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58" w:type="dxa"/>
          <w:right w:w="144" w:type="dxa"/>
        </w:tblCellMar>
        <w:tblLook w:val="04A0" w:firstRow="1" w:lastRow="0" w:firstColumn="1" w:lastColumn="0" w:noHBand="0" w:noVBand="1"/>
      </w:tblPr>
      <w:tblGrid>
        <w:gridCol w:w="10260"/>
      </w:tblGrid>
      <w:tr w:rsidR="000D089D" w:rsidRPr="000D089D" w14:paraId="2F071460" w14:textId="77777777" w:rsidTr="00433E84">
        <w:trPr>
          <w:trHeight w:val="300"/>
        </w:trPr>
        <w:tc>
          <w:tcPr>
            <w:tcW w:w="10260" w:type="dxa"/>
            <w:shd w:val="clear" w:color="auto" w:fill="5F295C"/>
            <w:tcMar>
              <w:top w:w="144" w:type="dxa"/>
              <w:left w:w="144" w:type="dxa"/>
              <w:bottom w:w="144" w:type="dxa"/>
              <w:right w:w="144" w:type="dxa"/>
            </w:tcMar>
          </w:tcPr>
          <w:p w14:paraId="523AA635" w14:textId="77777777" w:rsidR="000D089D" w:rsidRPr="000D089D" w:rsidRDefault="000D089D">
            <w:pPr>
              <w:pStyle w:val="Heading4"/>
              <w:spacing w:after="0"/>
              <w:outlineLvl w:val="3"/>
              <w:rPr>
                <w:b/>
                <w:bCs/>
              </w:rPr>
            </w:pPr>
            <w:r w:rsidRPr="000D089D">
              <w:rPr>
                <w:b/>
                <w:bCs/>
                <w:color w:val="FFFFFF" w:themeColor="background1"/>
              </w:rPr>
              <w:t>Subject Line Options</w:t>
            </w:r>
          </w:p>
        </w:tc>
      </w:tr>
      <w:tr w:rsidR="000D089D" w14:paraId="2DA3730C" w14:textId="77777777" w:rsidTr="00433E84">
        <w:trPr>
          <w:trHeight w:val="300"/>
        </w:trPr>
        <w:tc>
          <w:tcPr>
            <w:tcW w:w="10260" w:type="dxa"/>
            <w:shd w:val="clear" w:color="auto" w:fill="D9C8DE"/>
            <w:tcMar>
              <w:top w:w="144" w:type="dxa"/>
              <w:left w:w="144" w:type="dxa"/>
              <w:bottom w:w="58" w:type="dxa"/>
              <w:right w:w="144" w:type="dxa"/>
            </w:tcMar>
          </w:tcPr>
          <w:p w14:paraId="6724031B" w14:textId="62D8D04F" w:rsidR="00B83EDF" w:rsidRPr="008C22C0" w:rsidRDefault="001A72CF" w:rsidP="00B83EDF">
            <w:pPr>
              <w:spacing w:after="160"/>
              <w:rPr>
                <w:lang w:val="es-PE"/>
              </w:rPr>
            </w:pPr>
            <w:r>
              <w:rPr>
                <w:lang w:val="es-PE"/>
              </w:rPr>
              <w:t xml:space="preserve">Ya </w:t>
            </w:r>
            <w:r w:rsidR="00B83EDF" w:rsidRPr="008C22C0">
              <w:rPr>
                <w:lang w:val="es-PE"/>
              </w:rPr>
              <w:t>Empieza la Inscripción Abierta: Prepárese Para Elegir</w:t>
            </w:r>
          </w:p>
          <w:p w14:paraId="458CC6E2" w14:textId="797E4D59" w:rsidR="00B83EDF" w:rsidRPr="008C22C0" w:rsidRDefault="00B83EDF" w:rsidP="00B83EDF">
            <w:pPr>
              <w:spacing w:after="160"/>
              <w:rPr>
                <w:lang w:val="es-PE"/>
              </w:rPr>
            </w:pPr>
            <w:r w:rsidRPr="008C22C0">
              <w:rPr>
                <w:lang w:val="es-PE"/>
              </w:rPr>
              <w:t>Ya empieza la inscripción abierta</w:t>
            </w:r>
            <w:r w:rsidR="00D5261E">
              <w:rPr>
                <w:lang w:val="es-PE"/>
              </w:rPr>
              <w:t>.</w:t>
            </w:r>
            <w:r w:rsidRPr="008C22C0">
              <w:rPr>
                <w:lang w:val="es-PE"/>
              </w:rPr>
              <w:t xml:space="preserve"> ¿Está listo/a?</w:t>
            </w:r>
          </w:p>
          <w:p w14:paraId="4BEBBC4B" w14:textId="44B6AEA2" w:rsidR="000D089D" w:rsidRDefault="00B83EDF" w:rsidP="00B83EDF">
            <w:pPr>
              <w:spacing w:after="160"/>
            </w:pPr>
            <w:r w:rsidRPr="008C22C0">
              <w:rPr>
                <w:lang w:val="es-PE"/>
              </w:rPr>
              <w:t>¿Necesita Seguro Médico para el 2026? Actúe Ya</w:t>
            </w:r>
          </w:p>
        </w:tc>
      </w:tr>
      <w:tr w:rsidR="000D089D" w:rsidRPr="000D089D" w14:paraId="6744B1DB" w14:textId="77777777" w:rsidTr="00433E84">
        <w:trPr>
          <w:trHeight w:val="300"/>
        </w:trPr>
        <w:tc>
          <w:tcPr>
            <w:tcW w:w="10260" w:type="dxa"/>
            <w:shd w:val="clear" w:color="auto" w:fill="5F295C"/>
            <w:tcMar>
              <w:top w:w="144" w:type="dxa"/>
              <w:left w:w="144" w:type="dxa"/>
              <w:bottom w:w="144" w:type="dxa"/>
              <w:right w:w="144" w:type="dxa"/>
            </w:tcMar>
          </w:tcPr>
          <w:p w14:paraId="7281591D" w14:textId="77777777" w:rsidR="000D089D" w:rsidRPr="000D089D" w:rsidRDefault="000D089D">
            <w:pPr>
              <w:spacing w:after="0"/>
              <w:rPr>
                <w:b/>
                <w:bCs/>
                <w:color w:val="FFFFFF" w:themeColor="background1"/>
              </w:rPr>
            </w:pPr>
            <w:r w:rsidRPr="000D089D">
              <w:rPr>
                <w:b/>
                <w:bCs/>
                <w:color w:val="FFFFFF" w:themeColor="background1"/>
              </w:rPr>
              <w:t>Email Body</w:t>
            </w:r>
          </w:p>
        </w:tc>
      </w:tr>
      <w:tr w:rsidR="000D089D" w:rsidRPr="00D4360B" w14:paraId="17F913B2" w14:textId="77777777" w:rsidTr="00433E84">
        <w:trPr>
          <w:trHeight w:val="300"/>
        </w:trPr>
        <w:tc>
          <w:tcPr>
            <w:tcW w:w="10260" w:type="dxa"/>
            <w:shd w:val="clear" w:color="auto" w:fill="D9C8DE"/>
            <w:tcMar>
              <w:top w:w="144" w:type="dxa"/>
              <w:left w:w="144" w:type="dxa"/>
              <w:bottom w:w="58" w:type="dxa"/>
              <w:right w:w="144" w:type="dxa"/>
            </w:tcMar>
          </w:tcPr>
          <w:p w14:paraId="7858F863" w14:textId="77777777" w:rsidR="00E67040" w:rsidRPr="008C22C0" w:rsidRDefault="00E67040" w:rsidP="00E67040">
            <w:pPr>
              <w:spacing w:after="160"/>
              <w:rPr>
                <w:b/>
                <w:bCs/>
                <w:lang w:val="es-PE"/>
              </w:rPr>
            </w:pPr>
            <w:r w:rsidRPr="008C22C0">
              <w:rPr>
                <w:b/>
                <w:bCs/>
                <w:lang w:val="es-PE"/>
              </w:rPr>
              <w:t>La inscripción abierta para los planes de salud de 2026 comienza el [1 de noviembre].</w:t>
            </w:r>
          </w:p>
          <w:p w14:paraId="4B009821" w14:textId="3F016567" w:rsidR="00E67040" w:rsidRPr="008C22C0" w:rsidRDefault="00E67040" w:rsidP="00E67040">
            <w:pPr>
              <w:spacing w:after="160"/>
              <w:rPr>
                <w:lang w:val="es-PE"/>
              </w:rPr>
            </w:pPr>
            <w:r w:rsidRPr="008C22C0">
              <w:rPr>
                <w:lang w:val="es-PE"/>
              </w:rPr>
              <w:t>Este año, los cambios federales podrían afectar los costos y beneficios de los planes, por lo que es más importante que nunca explorar sus opciones ahora.</w:t>
            </w:r>
          </w:p>
          <w:p w14:paraId="70D904A6" w14:textId="77777777" w:rsidR="00E67040" w:rsidRPr="008C22C0" w:rsidRDefault="00E67040" w:rsidP="00E67040">
            <w:pPr>
              <w:spacing w:after="160"/>
              <w:rPr>
                <w:b/>
                <w:bCs/>
                <w:lang w:val="es-PE"/>
              </w:rPr>
            </w:pPr>
            <w:r w:rsidRPr="008C22C0">
              <w:rPr>
                <w:b/>
                <w:bCs/>
                <w:lang w:val="es-PE"/>
              </w:rPr>
              <w:t>¿Por qué comparar planes con anticipación?</w:t>
            </w:r>
          </w:p>
          <w:p w14:paraId="50944C44" w14:textId="77777777" w:rsidR="00E67040" w:rsidRPr="008C22C0" w:rsidRDefault="00E67040" w:rsidP="00E67040">
            <w:pPr>
              <w:pStyle w:val="ListParagraph"/>
              <w:numPr>
                <w:ilvl w:val="0"/>
                <w:numId w:val="27"/>
              </w:numPr>
              <w:spacing w:after="160"/>
              <w:rPr>
                <w:lang w:val="es-PE"/>
              </w:rPr>
            </w:pPr>
            <w:r w:rsidRPr="008C22C0">
              <w:rPr>
                <w:lang w:val="es-PE"/>
              </w:rPr>
              <w:t>Hay nuevos planes y precios. Tómese el tiempo para ver cómo aprovechar al máximo su plan.</w:t>
            </w:r>
          </w:p>
          <w:p w14:paraId="643E9F33" w14:textId="77777777" w:rsidR="00E67040" w:rsidRPr="008C22C0" w:rsidRDefault="00E67040" w:rsidP="00E67040">
            <w:pPr>
              <w:pStyle w:val="ListParagraph"/>
              <w:numPr>
                <w:ilvl w:val="0"/>
                <w:numId w:val="27"/>
              </w:numPr>
              <w:spacing w:after="160"/>
              <w:rPr>
                <w:lang w:val="es-PE"/>
              </w:rPr>
            </w:pPr>
            <w:r w:rsidRPr="008C22C0">
              <w:rPr>
                <w:lang w:val="es-PE"/>
              </w:rPr>
              <w:t>Obtenga asistencia gratuita para la inscripción antes de la fecha límite.</w:t>
            </w:r>
          </w:p>
          <w:p w14:paraId="516E40D7" w14:textId="77777777" w:rsidR="00E67040" w:rsidRPr="008C22C0" w:rsidRDefault="00E67040" w:rsidP="00E67040">
            <w:pPr>
              <w:pStyle w:val="ListParagraph"/>
              <w:numPr>
                <w:ilvl w:val="0"/>
                <w:numId w:val="27"/>
              </w:numPr>
              <w:spacing w:after="160"/>
              <w:rPr>
                <w:lang w:val="es-PE"/>
              </w:rPr>
            </w:pPr>
            <w:r w:rsidRPr="008C22C0">
              <w:rPr>
                <w:lang w:val="es-PE"/>
              </w:rPr>
              <w:t>Evite retrasos en la cobertura o la atención médica. Comparar con anticipación le da tiempo para proporcionar cualquier documento adicional necesario este año.</w:t>
            </w:r>
          </w:p>
          <w:p w14:paraId="42DD6072" w14:textId="3397C873" w:rsidR="00E67040" w:rsidRPr="008C22C0" w:rsidRDefault="00E67040" w:rsidP="00E67040">
            <w:pPr>
              <w:spacing w:after="160"/>
              <w:rPr>
                <w:lang w:val="es-PE"/>
              </w:rPr>
            </w:pPr>
            <w:r w:rsidRPr="008C22C0">
              <w:rPr>
                <w:lang w:val="es-PE"/>
              </w:rPr>
              <w:t>Asegúrese que su plan de salud siga siendo adecuado para usted. Podría haber mejores opciones que se ajusten a sus necesidades y presupuesto, así que tómese el tiempo para comparar planes y encontrar la cobertura que mejor se adapte a sus necesidades.</w:t>
            </w:r>
          </w:p>
          <w:p w14:paraId="73FE9ADB" w14:textId="50351D3D" w:rsidR="00E67040" w:rsidRPr="008C22C0" w:rsidRDefault="00E67040" w:rsidP="00E67040">
            <w:pPr>
              <w:spacing w:after="160"/>
              <w:rPr>
                <w:b/>
                <w:bCs/>
                <w:lang w:val="es-PE"/>
              </w:rPr>
            </w:pPr>
            <w:r w:rsidRPr="008C22C0">
              <w:rPr>
                <w:b/>
                <w:bCs/>
                <w:lang w:val="es-PE"/>
              </w:rPr>
              <w:t>Botón: Compare Planes Ahora</w:t>
            </w:r>
          </w:p>
          <w:p w14:paraId="0987ACB0" w14:textId="77777777" w:rsidR="00E67040" w:rsidRPr="008C22C0" w:rsidRDefault="00E67040" w:rsidP="00E67040">
            <w:pPr>
              <w:spacing w:after="160"/>
              <w:rPr>
                <w:b/>
                <w:bCs/>
                <w:lang w:val="es-PE"/>
              </w:rPr>
            </w:pPr>
            <w:r w:rsidRPr="008C22C0">
              <w:rPr>
                <w:b/>
                <w:bCs/>
                <w:lang w:val="es-PE"/>
              </w:rPr>
              <w:t>¿Necesita ayuda?</w:t>
            </w:r>
          </w:p>
          <w:p w14:paraId="6FE7501B" w14:textId="34F8896C" w:rsidR="000D089D" w:rsidRPr="00DD62CF" w:rsidRDefault="00E67040" w:rsidP="00E67040">
            <w:pPr>
              <w:spacing w:after="160"/>
              <w:rPr>
                <w:lang w:val="es-PE"/>
              </w:rPr>
            </w:pPr>
            <w:r w:rsidRPr="008C22C0">
              <w:rPr>
                <w:lang w:val="es-PE"/>
              </w:rPr>
              <w:t>Para eso estamos aquí. Nuestros expertos capacitados pueden ayudarle a comparar planes y ahorrar. Visite [URL] o llame al [XXX-XXX-XXXX] para comenzar.</w:t>
            </w:r>
          </w:p>
        </w:tc>
      </w:tr>
    </w:tbl>
    <w:p w14:paraId="20B793B3" w14:textId="77777777" w:rsidR="00F322DE" w:rsidRPr="00F322DE" w:rsidRDefault="00F322DE" w:rsidP="00F322DE">
      <w:pPr>
        <w:pStyle w:val="Heading1"/>
      </w:pPr>
      <w:bookmarkStart w:id="6" w:name="_Toc205320462"/>
      <w:bookmarkStart w:id="7" w:name="_Toc206084508"/>
      <w:r w:rsidRPr="00F322DE">
        <w:lastRenderedPageBreak/>
        <w:t>SMS Strategy and Template Messages</w:t>
      </w:r>
      <w:bookmarkEnd w:id="6"/>
      <w:bookmarkEnd w:id="7"/>
    </w:p>
    <w:p w14:paraId="24FE30CE" w14:textId="77777777" w:rsidR="00F322DE" w:rsidRPr="00C72F1B" w:rsidRDefault="00F322DE" w:rsidP="00F322DE">
      <w:r>
        <w:t xml:space="preserve">Text messaging is a powerful tool for reaching enrollees with timely, actionable information. SMS can help reinforce key messages, drive traffic to resources, and prompt </w:t>
      </w:r>
      <w:bookmarkStart w:id="8" w:name="_Int_u23JBJ6S"/>
      <w:r>
        <w:t>early action</w:t>
      </w:r>
      <w:bookmarkEnd w:id="8"/>
      <w:r>
        <w:t>. SMS campaigns should complement other direct-to-consumer communications, such as email or direct mail. Consider these best practices when preparing an SMS campaign:</w:t>
      </w:r>
    </w:p>
    <w:p w14:paraId="251AB287" w14:textId="07F96741" w:rsidR="006B399F" w:rsidRPr="00C72F1B" w:rsidRDefault="0061732D" w:rsidP="006B399F">
      <w:pPr>
        <w:pStyle w:val="ListParagraph"/>
      </w:pPr>
      <w:r>
        <w:t>Limit</w:t>
      </w:r>
      <w:r w:rsidR="006B399F" w:rsidRPr="00C72F1B">
        <w:t xml:space="preserve"> messages </w:t>
      </w:r>
      <w:r>
        <w:t>to</w:t>
      </w:r>
      <w:r w:rsidR="006B399F" w:rsidRPr="00C72F1B">
        <w:t xml:space="preserve"> 160 characters to ensure full delivery across all devices. Keep in mind that translated messages may require more characters. </w:t>
      </w:r>
    </w:p>
    <w:p w14:paraId="0C3FA243" w14:textId="77777777" w:rsidR="006B399F" w:rsidRPr="00C72F1B" w:rsidRDefault="006B399F" w:rsidP="006B399F">
      <w:pPr>
        <w:pStyle w:val="ListParagraph"/>
      </w:pPr>
      <w:r w:rsidRPr="00C72F1B">
        <w:t>Include shortened URLs to direct users to more information or tools.</w:t>
      </w:r>
    </w:p>
    <w:p w14:paraId="0040A72E" w14:textId="77777777" w:rsidR="006B399F" w:rsidRPr="00C72F1B" w:rsidRDefault="006B399F" w:rsidP="006B399F">
      <w:pPr>
        <w:pStyle w:val="ListParagraph"/>
      </w:pPr>
      <w:r w:rsidRPr="00C72F1B">
        <w:t>Send messages at appropriate times (e.g., mid-morning or early evening) to increase engagement.</w:t>
      </w:r>
    </w:p>
    <w:p w14:paraId="2704EC49" w14:textId="63E85C26" w:rsidR="00C638D3" w:rsidRDefault="005456ED" w:rsidP="005456ED">
      <w:r>
        <w:t xml:space="preserve">For additional </w:t>
      </w:r>
      <w:r w:rsidR="005A24D5">
        <w:t xml:space="preserve">SMS guidance, </w:t>
      </w:r>
      <w:r w:rsidR="00D96F6A">
        <w:t xml:space="preserve">refer to the </w:t>
      </w:r>
      <w:r w:rsidR="00FE67C3">
        <w:t>S</w:t>
      </w:r>
      <w:r w:rsidR="4E2A2CC2">
        <w:t xml:space="preserve">tate </w:t>
      </w:r>
      <w:r w:rsidR="00FE67C3">
        <w:t>H</w:t>
      </w:r>
      <w:r w:rsidR="14F86180">
        <w:t xml:space="preserve">ealth and </w:t>
      </w:r>
      <w:r w:rsidR="00FE67C3">
        <w:t>V</w:t>
      </w:r>
      <w:r w:rsidR="20466667">
        <w:t xml:space="preserve">alue </w:t>
      </w:r>
      <w:r w:rsidR="00FE67C3">
        <w:t>S</w:t>
      </w:r>
      <w:r w:rsidR="6A7B1980">
        <w:t>trategies</w:t>
      </w:r>
      <w:r w:rsidR="00FE67C3">
        <w:t xml:space="preserve"> </w:t>
      </w:r>
      <w:hyperlink r:id="rId14">
        <w:r w:rsidR="00D96F6A" w:rsidRPr="21286734">
          <w:rPr>
            <w:rStyle w:val="Hyperlink"/>
          </w:rPr>
          <w:t>Optimizing SMS Strategies</w:t>
        </w:r>
      </w:hyperlink>
      <w:r w:rsidR="00D96F6A">
        <w:t xml:space="preserve"> expert perspective</w:t>
      </w:r>
      <w:r w:rsidR="00FE67C3">
        <w:t>.</w:t>
      </w:r>
    </w:p>
    <w:p w14:paraId="3585428E" w14:textId="77777777" w:rsidR="006B399F" w:rsidRDefault="006B399F" w:rsidP="006B399F">
      <w:pPr>
        <w:pStyle w:val="Heading3"/>
      </w:pPr>
      <w:r>
        <w:t>Prepare Enrollees for Changes</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4" w:type="dxa"/>
          <w:left w:w="144" w:type="dxa"/>
          <w:bottom w:w="58" w:type="dxa"/>
          <w:right w:w="144" w:type="dxa"/>
        </w:tblCellMar>
        <w:tblLook w:val="04A0" w:firstRow="1" w:lastRow="0" w:firstColumn="1" w:lastColumn="0" w:noHBand="0" w:noVBand="1"/>
      </w:tblPr>
      <w:tblGrid>
        <w:gridCol w:w="10340"/>
      </w:tblGrid>
      <w:tr w:rsidR="000D089D" w:rsidRPr="00D87D42" w14:paraId="7611E057" w14:textId="77777777" w:rsidTr="003827DC">
        <w:trPr>
          <w:cantSplit/>
        </w:trPr>
        <w:tc>
          <w:tcPr>
            <w:tcW w:w="10340" w:type="dxa"/>
            <w:shd w:val="clear" w:color="auto" w:fill="D9C8DE"/>
          </w:tcPr>
          <w:p w14:paraId="2F9B5B7F" w14:textId="01497413" w:rsidR="000D089D" w:rsidRPr="00D87D42" w:rsidRDefault="001051AF">
            <w:pPr>
              <w:spacing w:after="160"/>
              <w:rPr>
                <w:lang w:val="es-PE"/>
              </w:rPr>
            </w:pPr>
            <w:r w:rsidRPr="00D87D42">
              <w:rPr>
                <w:lang w:val="es-PE"/>
              </w:rPr>
              <w:t>¿Ha oído hablar de los cambios federales en los seguros médicos? [MERCADO] le ayuda a entender los cambios. Visite [URL]</w:t>
            </w:r>
          </w:p>
        </w:tc>
      </w:tr>
      <w:tr w:rsidR="000D089D" w:rsidRPr="00D87D42" w14:paraId="22AAB379" w14:textId="77777777" w:rsidTr="003827DC">
        <w:trPr>
          <w:cantSplit/>
        </w:trPr>
        <w:tc>
          <w:tcPr>
            <w:tcW w:w="10340" w:type="dxa"/>
            <w:shd w:val="clear" w:color="auto" w:fill="D9C8DE"/>
          </w:tcPr>
          <w:p w14:paraId="54497F6F" w14:textId="2FBECBBF" w:rsidR="000D089D" w:rsidRPr="00D87D42" w:rsidRDefault="009E2B1B">
            <w:pPr>
              <w:spacing w:after="160"/>
              <w:rPr>
                <w:lang w:val="es-PE"/>
              </w:rPr>
            </w:pPr>
            <w:r w:rsidRPr="00D87D42">
              <w:rPr>
                <w:lang w:val="es-PE"/>
              </w:rPr>
              <w:t>Se avecinan grandes cambios en los seguros médicos. [MERCADO] está aquí para explicarle lo nuevo y a mantener su cobertura. Visite [URL]</w:t>
            </w:r>
          </w:p>
        </w:tc>
      </w:tr>
      <w:tr w:rsidR="000D089D" w:rsidRPr="00D87D42" w14:paraId="75420E5E" w14:textId="77777777" w:rsidTr="00402CCE">
        <w:trPr>
          <w:cantSplit/>
          <w:trHeight w:val="660"/>
        </w:trPr>
        <w:tc>
          <w:tcPr>
            <w:tcW w:w="10340" w:type="dxa"/>
            <w:shd w:val="clear" w:color="auto" w:fill="D9C8DE"/>
          </w:tcPr>
          <w:p w14:paraId="542D9F38" w14:textId="231183DC" w:rsidR="000D089D" w:rsidRPr="00D87D42" w:rsidRDefault="00402CCE">
            <w:pPr>
              <w:spacing w:after="160"/>
              <w:rPr>
                <w:lang w:val="es-PE"/>
              </w:rPr>
            </w:pPr>
            <w:r w:rsidRPr="00D87D42">
              <w:rPr>
                <w:lang w:val="es-PE"/>
              </w:rPr>
              <w:t>Los cambios federales aumentarán los costos de los planes de salud en el 2026. [MERCADO] le ayuda a sacar el máximo provecho de su plan. Vea los cambios: [URL]</w:t>
            </w:r>
          </w:p>
        </w:tc>
      </w:tr>
    </w:tbl>
    <w:p w14:paraId="688A3734" w14:textId="77777777" w:rsidR="000D089D" w:rsidRPr="00D87D42" w:rsidRDefault="000D089D" w:rsidP="001C440C">
      <w:pPr>
        <w:spacing w:after="0"/>
        <w:rPr>
          <w:lang w:val="es-PE"/>
        </w:rPr>
      </w:pPr>
    </w:p>
    <w:p w14:paraId="500245D6" w14:textId="77777777" w:rsidR="006B399F" w:rsidRPr="00D87D42" w:rsidRDefault="006B399F" w:rsidP="006B399F">
      <w:pPr>
        <w:pStyle w:val="Heading3"/>
        <w:rPr>
          <w:lang w:val="es-PE"/>
        </w:rPr>
      </w:pPr>
      <w:r w:rsidRPr="00D87D42">
        <w:rPr>
          <w:lang w:val="es-PE"/>
        </w:rPr>
        <w:t>Prime Enrollees to Shop</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4" w:type="dxa"/>
          <w:left w:w="144" w:type="dxa"/>
          <w:bottom w:w="58" w:type="dxa"/>
          <w:right w:w="144" w:type="dxa"/>
        </w:tblCellMar>
        <w:tblLook w:val="04A0" w:firstRow="1" w:lastRow="0" w:firstColumn="1" w:lastColumn="0" w:noHBand="0" w:noVBand="1"/>
      </w:tblPr>
      <w:tblGrid>
        <w:gridCol w:w="10340"/>
      </w:tblGrid>
      <w:tr w:rsidR="000D089D" w:rsidRPr="00D87D42" w14:paraId="3B790F71" w14:textId="77777777" w:rsidTr="003827DC">
        <w:trPr>
          <w:cantSplit/>
        </w:trPr>
        <w:tc>
          <w:tcPr>
            <w:tcW w:w="10340" w:type="dxa"/>
            <w:shd w:val="clear" w:color="auto" w:fill="D9C8DE"/>
          </w:tcPr>
          <w:p w14:paraId="5496E26B" w14:textId="47FBDE07" w:rsidR="000D089D" w:rsidRPr="00D87D42" w:rsidRDefault="00F9628C">
            <w:pPr>
              <w:spacing w:after="160"/>
              <w:rPr>
                <w:lang w:val="es-PE"/>
              </w:rPr>
            </w:pPr>
            <w:r w:rsidRPr="00D87D42">
              <w:rPr>
                <w:lang w:val="es-PE"/>
              </w:rPr>
              <w:t>Los planes de salud y precios para el 2026 ya están disponibles. Compare las opciones de [MERCADO] hoy mismo: [URL CORTO]</w:t>
            </w:r>
          </w:p>
        </w:tc>
      </w:tr>
      <w:tr w:rsidR="000D089D" w:rsidRPr="00D4360B" w14:paraId="24F2BE71" w14:textId="77777777" w:rsidTr="003827DC">
        <w:trPr>
          <w:cantSplit/>
        </w:trPr>
        <w:tc>
          <w:tcPr>
            <w:tcW w:w="10340" w:type="dxa"/>
            <w:shd w:val="clear" w:color="auto" w:fill="D9C8DE"/>
          </w:tcPr>
          <w:p w14:paraId="2E524375" w14:textId="33FD6F80" w:rsidR="000D089D" w:rsidRPr="00D87D42" w:rsidRDefault="00D415B6">
            <w:pPr>
              <w:spacing w:after="160"/>
              <w:rPr>
                <w:lang w:val="es-PE"/>
              </w:rPr>
            </w:pPr>
            <w:r w:rsidRPr="00D87D42">
              <w:rPr>
                <w:lang w:val="es-PE"/>
              </w:rPr>
              <w:t xml:space="preserve">Use la herramienta [ESTIMADOR DE COSTOS] de [MERCADO] para </w:t>
            </w:r>
            <w:r w:rsidR="00A76F47">
              <w:rPr>
                <w:lang w:val="es-PE"/>
              </w:rPr>
              <w:t>ver</w:t>
            </w:r>
            <w:r w:rsidRPr="00D87D42">
              <w:rPr>
                <w:lang w:val="es-PE"/>
              </w:rPr>
              <w:t xml:space="preserve"> los planes y precios </w:t>
            </w:r>
            <w:r w:rsidR="00200347">
              <w:rPr>
                <w:lang w:val="es-PE"/>
              </w:rPr>
              <w:t>para el</w:t>
            </w:r>
            <w:r w:rsidRPr="00D87D42">
              <w:rPr>
                <w:lang w:val="es-PE"/>
              </w:rPr>
              <w:t xml:space="preserve"> 2026; no necesita iniciar sesión: [URL CORTO]</w:t>
            </w:r>
          </w:p>
        </w:tc>
      </w:tr>
      <w:tr w:rsidR="000D089D" w:rsidRPr="00D4360B" w14:paraId="569A2B88" w14:textId="77777777" w:rsidTr="003827DC">
        <w:trPr>
          <w:cantSplit/>
        </w:trPr>
        <w:tc>
          <w:tcPr>
            <w:tcW w:w="10340" w:type="dxa"/>
            <w:shd w:val="clear" w:color="auto" w:fill="D9C8DE"/>
          </w:tcPr>
          <w:p w14:paraId="0F80ADDA" w14:textId="434444AA" w:rsidR="000D089D" w:rsidRPr="00D87D42" w:rsidRDefault="00C47952">
            <w:pPr>
              <w:spacing w:after="160"/>
              <w:rPr>
                <w:lang w:val="es-PE"/>
              </w:rPr>
            </w:pPr>
            <w:r w:rsidRPr="00D87D42">
              <w:rPr>
                <w:lang w:val="es-PE"/>
              </w:rPr>
              <w:t xml:space="preserve">Los planes de salud y sus precios cambian cada año. </w:t>
            </w:r>
            <w:r w:rsidR="000723CE">
              <w:rPr>
                <w:lang w:val="es-PE"/>
              </w:rPr>
              <w:t>Comience</w:t>
            </w:r>
            <w:r w:rsidRPr="00D87D42">
              <w:rPr>
                <w:lang w:val="es-PE"/>
              </w:rPr>
              <w:t xml:space="preserve"> a explorar [MERCADO] para encontrar la opción ideal: [URL CORTO]</w:t>
            </w:r>
          </w:p>
        </w:tc>
      </w:tr>
    </w:tbl>
    <w:p w14:paraId="6D3CE7D6" w14:textId="77777777" w:rsidR="000D089D" w:rsidRPr="00D87D42" w:rsidRDefault="000D089D" w:rsidP="001C440C">
      <w:pPr>
        <w:spacing w:after="0"/>
        <w:rPr>
          <w:lang w:val="es-PE"/>
        </w:rPr>
      </w:pPr>
    </w:p>
    <w:p w14:paraId="59F72FF7" w14:textId="77777777" w:rsidR="006B399F" w:rsidRPr="00D87D42" w:rsidRDefault="006B399F" w:rsidP="006B399F">
      <w:pPr>
        <w:pStyle w:val="Heading3"/>
        <w:rPr>
          <w:lang w:val="es-PE"/>
        </w:rPr>
      </w:pPr>
      <w:r w:rsidRPr="00D87D42">
        <w:rPr>
          <w:lang w:val="es-PE"/>
        </w:rPr>
        <w:t>Drive Early Action</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4" w:type="dxa"/>
          <w:left w:w="144" w:type="dxa"/>
          <w:bottom w:w="58" w:type="dxa"/>
          <w:right w:w="144" w:type="dxa"/>
        </w:tblCellMar>
        <w:tblLook w:val="04A0" w:firstRow="1" w:lastRow="0" w:firstColumn="1" w:lastColumn="0" w:noHBand="0" w:noVBand="1"/>
      </w:tblPr>
      <w:tblGrid>
        <w:gridCol w:w="10340"/>
      </w:tblGrid>
      <w:tr w:rsidR="000D089D" w:rsidRPr="000F284F" w14:paraId="4DBDB276" w14:textId="77777777" w:rsidTr="003827DC">
        <w:trPr>
          <w:cantSplit/>
        </w:trPr>
        <w:tc>
          <w:tcPr>
            <w:tcW w:w="10340" w:type="dxa"/>
            <w:shd w:val="clear" w:color="auto" w:fill="D9C8DE"/>
          </w:tcPr>
          <w:p w14:paraId="28AB4689" w14:textId="21EC523E" w:rsidR="000D089D" w:rsidRPr="00D87D42" w:rsidRDefault="004A25EC" w:rsidP="004A25EC">
            <w:pPr>
              <w:rPr>
                <w:lang w:val="es-PE"/>
              </w:rPr>
            </w:pPr>
            <w:r w:rsidRPr="00D87D42">
              <w:rPr>
                <w:lang w:val="es-PE"/>
              </w:rPr>
              <w:t xml:space="preserve">La inscripción abierta </w:t>
            </w:r>
            <w:r w:rsidR="000F284F">
              <w:rPr>
                <w:lang w:val="es-PE"/>
              </w:rPr>
              <w:t>de</w:t>
            </w:r>
            <w:r w:rsidRPr="00D87D42">
              <w:rPr>
                <w:lang w:val="es-PE"/>
              </w:rPr>
              <w:t xml:space="preserve"> [MERCADO] comienza el [1 de noviembre]. Prepárese </w:t>
            </w:r>
            <w:r w:rsidR="004974A3">
              <w:rPr>
                <w:lang w:val="es-PE"/>
              </w:rPr>
              <w:t>y explore sus opciones temprano</w:t>
            </w:r>
            <w:r w:rsidRPr="00D87D42">
              <w:rPr>
                <w:lang w:val="es-PE"/>
              </w:rPr>
              <w:t>: [URL CORTO]</w:t>
            </w:r>
          </w:p>
        </w:tc>
      </w:tr>
      <w:tr w:rsidR="000D089D" w:rsidRPr="00D4360B" w14:paraId="6287D2E3" w14:textId="77777777" w:rsidTr="003827DC">
        <w:trPr>
          <w:cantSplit/>
        </w:trPr>
        <w:tc>
          <w:tcPr>
            <w:tcW w:w="10340" w:type="dxa"/>
            <w:shd w:val="clear" w:color="auto" w:fill="D9C8DE"/>
          </w:tcPr>
          <w:p w14:paraId="017437A8" w14:textId="7F01F7A2" w:rsidR="000D089D" w:rsidRPr="00D87D42" w:rsidRDefault="009B6B30">
            <w:pPr>
              <w:spacing w:after="160"/>
              <w:rPr>
                <w:lang w:val="es-PE"/>
              </w:rPr>
            </w:pPr>
            <w:r w:rsidRPr="00D87D42">
              <w:rPr>
                <w:lang w:val="es-PE"/>
              </w:rPr>
              <w:t>¿Necesita ayuda para inscribirse a través de [MERCADO]? Hay asistencia gratuita disponible. Llame al [XXX-XXX-XXXX] o visite [URL CORTO]</w:t>
            </w:r>
          </w:p>
        </w:tc>
      </w:tr>
      <w:tr w:rsidR="000D089D" w:rsidRPr="00D4360B" w14:paraId="45EB59FB" w14:textId="77777777" w:rsidTr="003827DC">
        <w:trPr>
          <w:cantSplit/>
        </w:trPr>
        <w:tc>
          <w:tcPr>
            <w:tcW w:w="10340" w:type="dxa"/>
            <w:shd w:val="clear" w:color="auto" w:fill="D9C8DE"/>
          </w:tcPr>
          <w:p w14:paraId="0FB24AC6" w14:textId="1255E761" w:rsidR="000D089D" w:rsidRPr="00D87D42" w:rsidRDefault="00C638D3">
            <w:pPr>
              <w:spacing w:after="160"/>
              <w:rPr>
                <w:lang w:val="es-PE"/>
              </w:rPr>
            </w:pPr>
            <w:r w:rsidRPr="00D87D42">
              <w:rPr>
                <w:lang w:val="es-PE"/>
              </w:rPr>
              <w:t xml:space="preserve">No espere: inscríbase </w:t>
            </w:r>
            <w:r w:rsidR="003018AE">
              <w:rPr>
                <w:lang w:val="es-PE"/>
              </w:rPr>
              <w:t xml:space="preserve">temprano </w:t>
            </w:r>
            <w:r w:rsidRPr="00D87D42">
              <w:rPr>
                <w:lang w:val="es-PE"/>
              </w:rPr>
              <w:t>para evitar retrasos en su cobertura médica: [URL CORTO]</w:t>
            </w:r>
          </w:p>
        </w:tc>
      </w:tr>
    </w:tbl>
    <w:p w14:paraId="5B8B19E1" w14:textId="41AE3514" w:rsidR="006B399F" w:rsidRDefault="008B373E" w:rsidP="008B373E">
      <w:pPr>
        <w:pStyle w:val="Heading1"/>
      </w:pPr>
      <w:bookmarkStart w:id="9" w:name="_Toc206084509"/>
      <w:r>
        <w:lastRenderedPageBreak/>
        <w:t>So</w:t>
      </w:r>
      <w:r w:rsidR="000D089D">
        <w:t>c</w:t>
      </w:r>
      <w:r>
        <w:t>ial Media Posts and Graphics</w:t>
      </w:r>
      <w:bookmarkEnd w:id="9"/>
    </w:p>
    <w:p w14:paraId="70A50722" w14:textId="3A9BCEFC" w:rsidR="00F322DE" w:rsidRDefault="008B373E" w:rsidP="008B373E">
      <w:r w:rsidRPr="008B373E">
        <w:t>Social media is a critical channel for reaching a broad audience with timely, accessible information. The following sample posts and graphics are designed to help SBMs communicate key federal updates. These posts can complement branded content that provides more state-specific details or support.</w:t>
      </w:r>
    </w:p>
    <w:p w14:paraId="4292145B" w14:textId="14CE2A7F" w:rsidR="00D46BD3" w:rsidRDefault="00694390" w:rsidP="008B373E">
      <w:r>
        <w:t xml:space="preserve">The following template communications resources in English and Spanish are available for download through the State Health and Value Strategies </w:t>
      </w:r>
      <w:hyperlink r:id="rId15" w:history="1">
        <w:r w:rsidRPr="00694390">
          <w:rPr>
            <w:rStyle w:val="Hyperlink"/>
          </w:rPr>
          <w:t>Social Press Kit</w:t>
        </w:r>
      </w:hyperlink>
      <w:r>
        <w:t>.</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3325"/>
        <w:gridCol w:w="6995"/>
      </w:tblGrid>
      <w:tr w:rsidR="00E403A6" w14:paraId="11499CD3" w14:textId="77777777" w:rsidTr="003827DC">
        <w:trPr>
          <w:trHeight w:val="431"/>
        </w:trPr>
        <w:tc>
          <w:tcPr>
            <w:tcW w:w="3325" w:type="dxa"/>
            <w:shd w:val="clear" w:color="auto" w:fill="5F295C"/>
            <w:vAlign w:val="center"/>
          </w:tcPr>
          <w:p w14:paraId="79DA7BC7" w14:textId="1CC5244E" w:rsidR="00694390" w:rsidRPr="00694390" w:rsidRDefault="00694390" w:rsidP="00694390">
            <w:pPr>
              <w:spacing w:after="0"/>
              <w:rPr>
                <w:color w:val="FFFFFF" w:themeColor="background1"/>
              </w:rPr>
            </w:pPr>
            <w:r w:rsidRPr="00694390">
              <w:rPr>
                <w:color w:val="FFFFFF" w:themeColor="background1"/>
              </w:rPr>
              <w:t>Graphic</w:t>
            </w:r>
          </w:p>
        </w:tc>
        <w:tc>
          <w:tcPr>
            <w:tcW w:w="6995" w:type="dxa"/>
            <w:shd w:val="clear" w:color="auto" w:fill="5F295C"/>
            <w:vAlign w:val="center"/>
          </w:tcPr>
          <w:p w14:paraId="4DCB74B8" w14:textId="52E1CF88" w:rsidR="00694390" w:rsidRPr="00694390" w:rsidRDefault="00694390" w:rsidP="00694390">
            <w:pPr>
              <w:spacing w:after="0"/>
              <w:rPr>
                <w:color w:val="FFFFFF" w:themeColor="background1"/>
              </w:rPr>
            </w:pPr>
            <w:r w:rsidRPr="00694390">
              <w:rPr>
                <w:color w:val="FFFFFF" w:themeColor="background1"/>
              </w:rPr>
              <w:t>Post Copy</w:t>
            </w:r>
          </w:p>
        </w:tc>
      </w:tr>
      <w:tr w:rsidR="00E403A6" w:rsidRPr="00D4360B" w14:paraId="302D87DE" w14:textId="77777777" w:rsidTr="00D43004">
        <w:trPr>
          <w:trHeight w:val="1440"/>
        </w:trPr>
        <w:tc>
          <w:tcPr>
            <w:tcW w:w="3325" w:type="dxa"/>
            <w:tcBorders>
              <w:bottom w:val="single" w:sz="24" w:space="0" w:color="FFFFFF" w:themeColor="background1"/>
            </w:tcBorders>
            <w:shd w:val="clear" w:color="auto" w:fill="D9C8DE"/>
            <w:tcMar>
              <w:top w:w="115" w:type="dxa"/>
              <w:left w:w="115" w:type="dxa"/>
              <w:bottom w:w="115" w:type="dxa"/>
              <w:right w:w="115" w:type="dxa"/>
            </w:tcMar>
          </w:tcPr>
          <w:p w14:paraId="5012064B" w14:textId="25F502A6" w:rsidR="00694390" w:rsidRPr="000F705B" w:rsidRDefault="009E084D" w:rsidP="0081154D">
            <w:pPr>
              <w:spacing w:after="0"/>
              <w:rPr>
                <w:highlight w:val="yellow"/>
              </w:rPr>
            </w:pPr>
            <w:r>
              <w:rPr>
                <w:noProof/>
              </w:rPr>
              <w:drawing>
                <wp:anchor distT="0" distB="0" distL="114300" distR="114300" simplePos="0" relativeHeight="251658240" behindDoc="0" locked="0" layoutInCell="1" allowOverlap="1" wp14:anchorId="09125D5C" wp14:editId="73EEF141">
                  <wp:simplePos x="0" y="0"/>
                  <wp:positionH relativeFrom="column">
                    <wp:posOffset>43180</wp:posOffset>
                  </wp:positionH>
                  <wp:positionV relativeFrom="paragraph">
                    <wp:posOffset>0</wp:posOffset>
                  </wp:positionV>
                  <wp:extent cx="1837055" cy="1837055"/>
                  <wp:effectExtent l="0" t="0" r="3175" b="3175"/>
                  <wp:wrapSquare wrapText="bothSides"/>
                  <wp:docPr id="1408781422" name="Picture 1" descr="A blue and white sign with a shiel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81422" name="Picture 1" descr="A blue and white sign with a shield and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7055" cy="1837055"/>
                          </a:xfrm>
                          <a:prstGeom prst="rect">
                            <a:avLst/>
                          </a:prstGeom>
                        </pic:spPr>
                      </pic:pic>
                    </a:graphicData>
                  </a:graphic>
                  <wp14:sizeRelH relativeFrom="page">
                    <wp14:pctWidth>0</wp14:pctWidth>
                  </wp14:sizeRelH>
                  <wp14:sizeRelV relativeFrom="page">
                    <wp14:pctHeight>0</wp14:pctHeight>
                  </wp14:sizeRelV>
                </wp:anchor>
              </w:drawing>
            </w:r>
          </w:p>
        </w:tc>
        <w:tc>
          <w:tcPr>
            <w:tcW w:w="6995" w:type="dxa"/>
            <w:shd w:val="clear" w:color="auto" w:fill="D9C8DE"/>
            <w:tcMar>
              <w:top w:w="115" w:type="dxa"/>
              <w:left w:w="115" w:type="dxa"/>
              <w:bottom w:w="115" w:type="dxa"/>
              <w:right w:w="115" w:type="dxa"/>
            </w:tcMar>
          </w:tcPr>
          <w:p w14:paraId="5E885B90" w14:textId="489349B0" w:rsidR="00694390" w:rsidRPr="00147893" w:rsidRDefault="007E1766" w:rsidP="0081154D">
            <w:pPr>
              <w:spacing w:after="0"/>
              <w:rPr>
                <w:lang w:val="es-PE"/>
              </w:rPr>
            </w:pPr>
            <w:r w:rsidRPr="00147893">
              <w:rPr>
                <w:lang w:val="es-PE"/>
              </w:rPr>
              <w:t xml:space="preserve">Las nuevas reglas federales cambiarán la forma de solicitar un seguro médico, su cobertura y su costo en el 2026. [MERCADO] está aquí para ayudarle a mantenerse informado/a y cubierto/a. Vea lo que está cambiando: [URL] </w:t>
            </w:r>
          </w:p>
        </w:tc>
      </w:tr>
      <w:tr w:rsidR="00E403A6" w:rsidRPr="00D4360B" w14:paraId="239CF25C" w14:textId="77777777" w:rsidTr="00D43004">
        <w:trPr>
          <w:trHeight w:val="2489"/>
        </w:trPr>
        <w:tc>
          <w:tcPr>
            <w:tcW w:w="3325" w:type="dxa"/>
            <w:tcBorders>
              <w:top w:val="single" w:sz="24" w:space="0" w:color="FFFFFF" w:themeColor="background1"/>
            </w:tcBorders>
            <w:shd w:val="clear" w:color="auto" w:fill="D9C8DE"/>
            <w:tcMar>
              <w:top w:w="115" w:type="dxa"/>
              <w:left w:w="115" w:type="dxa"/>
              <w:bottom w:w="115" w:type="dxa"/>
              <w:right w:w="115" w:type="dxa"/>
            </w:tcMar>
          </w:tcPr>
          <w:p w14:paraId="5DC22058" w14:textId="230FD05F" w:rsidR="00694390" w:rsidRPr="00D4360B" w:rsidRDefault="002F2ED1" w:rsidP="0081154D">
            <w:pPr>
              <w:spacing w:after="0"/>
              <w:rPr>
                <w:highlight w:val="yellow"/>
                <w:lang w:val="es-PE"/>
              </w:rPr>
            </w:pPr>
            <w:r>
              <w:rPr>
                <w:noProof/>
              </w:rPr>
              <w:drawing>
                <wp:anchor distT="0" distB="0" distL="114300" distR="114300" simplePos="0" relativeHeight="251658241" behindDoc="0" locked="0" layoutInCell="1" allowOverlap="1" wp14:anchorId="339A3008" wp14:editId="21A49F90">
                  <wp:simplePos x="0" y="0"/>
                  <wp:positionH relativeFrom="column">
                    <wp:posOffset>41910</wp:posOffset>
                  </wp:positionH>
                  <wp:positionV relativeFrom="paragraph">
                    <wp:posOffset>2540</wp:posOffset>
                  </wp:positionV>
                  <wp:extent cx="1837055" cy="1837055"/>
                  <wp:effectExtent l="0" t="0" r="4445" b="4445"/>
                  <wp:wrapSquare wrapText="bothSides"/>
                  <wp:docPr id="1446607846" name="Picture 2" descr="A blue and white logo with columns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07846" name="Picture 2" descr="A blue and white logo with columns and a flag&#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7055" cy="1837055"/>
                          </a:xfrm>
                          <a:prstGeom prst="rect">
                            <a:avLst/>
                          </a:prstGeom>
                        </pic:spPr>
                      </pic:pic>
                    </a:graphicData>
                  </a:graphic>
                  <wp14:sizeRelH relativeFrom="page">
                    <wp14:pctWidth>0</wp14:pctWidth>
                  </wp14:sizeRelH>
                  <wp14:sizeRelV relativeFrom="page">
                    <wp14:pctHeight>0</wp14:pctHeight>
                  </wp14:sizeRelV>
                </wp:anchor>
              </w:drawing>
            </w:r>
          </w:p>
        </w:tc>
        <w:tc>
          <w:tcPr>
            <w:tcW w:w="6995" w:type="dxa"/>
            <w:shd w:val="clear" w:color="auto" w:fill="D9C8DE"/>
            <w:tcMar>
              <w:top w:w="115" w:type="dxa"/>
              <w:left w:w="115" w:type="dxa"/>
              <w:bottom w:w="115" w:type="dxa"/>
              <w:right w:w="115" w:type="dxa"/>
            </w:tcMar>
          </w:tcPr>
          <w:p w14:paraId="7B5FC1DB" w14:textId="2FF7D03B" w:rsidR="00694390" w:rsidRPr="00147893" w:rsidRDefault="00205DFF" w:rsidP="0081154D">
            <w:pPr>
              <w:spacing w:after="0"/>
              <w:rPr>
                <w:lang w:val="es-PE"/>
              </w:rPr>
            </w:pPr>
            <w:r w:rsidRPr="00147893">
              <w:rPr>
                <w:lang w:val="es-PE"/>
              </w:rPr>
              <w:t>Las nuevas leyes federales cambiarán el seguro médico en el 2026. [MERCADO] está aquí para ayudarle a comprender los cambios. Visite [URL] para obtener más información.</w:t>
            </w:r>
          </w:p>
        </w:tc>
      </w:tr>
      <w:tr w:rsidR="00E403A6" w14:paraId="1E14B109" w14:textId="77777777" w:rsidTr="00BA3A16">
        <w:trPr>
          <w:trHeight w:val="2520"/>
        </w:trPr>
        <w:tc>
          <w:tcPr>
            <w:tcW w:w="3325" w:type="dxa"/>
            <w:shd w:val="clear" w:color="auto" w:fill="D9C8DE"/>
            <w:tcMar>
              <w:top w:w="115" w:type="dxa"/>
              <w:left w:w="115" w:type="dxa"/>
              <w:bottom w:w="115" w:type="dxa"/>
              <w:right w:w="115" w:type="dxa"/>
            </w:tcMar>
          </w:tcPr>
          <w:p w14:paraId="570A7A61" w14:textId="34380BDC" w:rsidR="00694390" w:rsidRPr="00D4360B" w:rsidRDefault="00CB12A7" w:rsidP="0081154D">
            <w:pPr>
              <w:spacing w:after="0"/>
              <w:rPr>
                <w:highlight w:val="yellow"/>
                <w:lang w:val="es-PE"/>
              </w:rPr>
            </w:pPr>
            <w:r>
              <w:rPr>
                <w:noProof/>
              </w:rPr>
              <w:drawing>
                <wp:anchor distT="0" distB="0" distL="114300" distR="114300" simplePos="0" relativeHeight="251658242" behindDoc="0" locked="0" layoutInCell="1" allowOverlap="1" wp14:anchorId="71E629CA" wp14:editId="36D2B4BA">
                  <wp:simplePos x="0" y="0"/>
                  <wp:positionH relativeFrom="column">
                    <wp:posOffset>41910</wp:posOffset>
                  </wp:positionH>
                  <wp:positionV relativeFrom="paragraph">
                    <wp:posOffset>635</wp:posOffset>
                  </wp:positionV>
                  <wp:extent cx="1837055" cy="1837055"/>
                  <wp:effectExtent l="0" t="0" r="4445" b="4445"/>
                  <wp:wrapSquare wrapText="bothSides"/>
                  <wp:docPr id="1705140197" name="Picture 3" descr="A blue and white sign with a clipboard and a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40197" name="Picture 3" descr="A blue and white sign with a clipboard and a pencil&#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055" cy="1837055"/>
                          </a:xfrm>
                          <a:prstGeom prst="rect">
                            <a:avLst/>
                          </a:prstGeom>
                        </pic:spPr>
                      </pic:pic>
                    </a:graphicData>
                  </a:graphic>
                  <wp14:sizeRelH relativeFrom="page">
                    <wp14:pctWidth>0</wp14:pctWidth>
                  </wp14:sizeRelH>
                  <wp14:sizeRelV relativeFrom="page">
                    <wp14:pctHeight>0</wp14:pctHeight>
                  </wp14:sizeRelV>
                </wp:anchor>
              </w:drawing>
            </w:r>
          </w:p>
        </w:tc>
        <w:tc>
          <w:tcPr>
            <w:tcW w:w="6995" w:type="dxa"/>
            <w:shd w:val="clear" w:color="auto" w:fill="D9C8DE"/>
            <w:tcMar>
              <w:top w:w="115" w:type="dxa"/>
              <w:left w:w="115" w:type="dxa"/>
              <w:bottom w:w="115" w:type="dxa"/>
              <w:right w:w="115" w:type="dxa"/>
            </w:tcMar>
          </w:tcPr>
          <w:p w14:paraId="4805B59A" w14:textId="7C48D3B6" w:rsidR="00694390" w:rsidRPr="00147893" w:rsidRDefault="009D314E" w:rsidP="0081154D">
            <w:pPr>
              <w:spacing w:after="0"/>
              <w:rPr>
                <w:lang w:val="es-PE"/>
              </w:rPr>
            </w:pPr>
            <w:r w:rsidRPr="00147893">
              <w:rPr>
                <w:lang w:val="es-PE"/>
              </w:rPr>
              <w:t>Algunos ahorros federales están por terminar y los precios podrían subir el próximo año. Pero aún tiene opciones. Compare planes y encuentre el que se ajuste a su presupuesto durante el período de inscripción abierta que comienza el 1 de noviembre. Obtenga un estimado hoy mismo: [URL]</w:t>
            </w:r>
          </w:p>
        </w:tc>
      </w:tr>
      <w:tr w:rsidR="00E403A6" w:rsidRPr="00D4360B" w14:paraId="73BE139B" w14:textId="77777777" w:rsidTr="003D0139">
        <w:trPr>
          <w:trHeight w:val="2615"/>
        </w:trPr>
        <w:tc>
          <w:tcPr>
            <w:tcW w:w="3325" w:type="dxa"/>
            <w:tcBorders>
              <w:top w:val="single" w:sz="24" w:space="0" w:color="FFFFFF" w:themeColor="background1"/>
            </w:tcBorders>
            <w:shd w:val="clear" w:color="auto" w:fill="D9C8DE"/>
            <w:tcMar>
              <w:top w:w="115" w:type="dxa"/>
              <w:left w:w="115" w:type="dxa"/>
              <w:bottom w:w="115" w:type="dxa"/>
              <w:right w:w="115" w:type="dxa"/>
            </w:tcMar>
          </w:tcPr>
          <w:p w14:paraId="1AD862D0" w14:textId="5A45BBA5" w:rsidR="00694390" w:rsidRPr="000F705B" w:rsidRDefault="00ED4864" w:rsidP="00CB12A7">
            <w:pPr>
              <w:spacing w:after="0"/>
              <w:rPr>
                <w:highlight w:val="yellow"/>
              </w:rPr>
            </w:pPr>
            <w:r>
              <w:rPr>
                <w:noProof/>
              </w:rPr>
              <w:lastRenderedPageBreak/>
              <w:drawing>
                <wp:anchor distT="0" distB="0" distL="114300" distR="114300" simplePos="0" relativeHeight="251658243" behindDoc="0" locked="0" layoutInCell="1" allowOverlap="1" wp14:anchorId="2AAD1211" wp14:editId="203D8D3B">
                  <wp:simplePos x="0" y="0"/>
                  <wp:positionH relativeFrom="column">
                    <wp:posOffset>60325</wp:posOffset>
                  </wp:positionH>
                  <wp:positionV relativeFrom="paragraph">
                    <wp:posOffset>59266</wp:posOffset>
                  </wp:positionV>
                  <wp:extent cx="1819910" cy="1819910"/>
                  <wp:effectExtent l="0" t="0" r="0" b="0"/>
                  <wp:wrapSquare wrapText="bothSides"/>
                  <wp:docPr id="2098921427" name="Picture 4"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21427" name="Picture 4" descr="A green sign with white tex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19910" cy="1819910"/>
                          </a:xfrm>
                          <a:prstGeom prst="rect">
                            <a:avLst/>
                          </a:prstGeom>
                        </pic:spPr>
                      </pic:pic>
                    </a:graphicData>
                  </a:graphic>
                  <wp14:sizeRelH relativeFrom="page">
                    <wp14:pctWidth>0</wp14:pctWidth>
                  </wp14:sizeRelH>
                  <wp14:sizeRelV relativeFrom="page">
                    <wp14:pctHeight>0</wp14:pctHeight>
                  </wp14:sizeRelV>
                </wp:anchor>
              </w:drawing>
            </w:r>
          </w:p>
        </w:tc>
        <w:tc>
          <w:tcPr>
            <w:tcW w:w="6995" w:type="dxa"/>
            <w:tcBorders>
              <w:top w:val="single" w:sz="24" w:space="0" w:color="FFFFFF" w:themeColor="background1"/>
            </w:tcBorders>
            <w:shd w:val="clear" w:color="auto" w:fill="D9C8DE"/>
            <w:tcMar>
              <w:top w:w="115" w:type="dxa"/>
              <w:left w:w="115" w:type="dxa"/>
              <w:bottom w:w="115" w:type="dxa"/>
              <w:right w:w="115" w:type="dxa"/>
            </w:tcMar>
          </w:tcPr>
          <w:p w14:paraId="7A539668" w14:textId="75DD6C1E" w:rsidR="00147893" w:rsidRPr="00147893" w:rsidRDefault="008945FE" w:rsidP="00CB12A7">
            <w:pPr>
              <w:spacing w:after="0"/>
              <w:rPr>
                <w:lang w:val="es-PE"/>
              </w:rPr>
            </w:pPr>
            <w:r w:rsidRPr="00147893">
              <w:rPr>
                <w:lang w:val="es-PE"/>
              </w:rPr>
              <w:t>¿Recibió ahorros en el 2024? Presentar su declaración de impuestos del 2024 es la única manera de seguir siendo elegible para créditos fiscales a través de [MERCADO] en el 2026. Visite [URL] para obtener ayuda para conservar sus ahorros en el seguro médico.</w:t>
            </w:r>
          </w:p>
        </w:tc>
      </w:tr>
      <w:tr w:rsidR="00E403A6" w:rsidRPr="00D4360B" w14:paraId="50B9CE61" w14:textId="77777777" w:rsidTr="00BA3A16">
        <w:trPr>
          <w:trHeight w:val="2520"/>
        </w:trPr>
        <w:tc>
          <w:tcPr>
            <w:tcW w:w="3325" w:type="dxa"/>
            <w:shd w:val="clear" w:color="auto" w:fill="D9C8DE"/>
            <w:tcMar>
              <w:top w:w="115" w:type="dxa"/>
              <w:left w:w="115" w:type="dxa"/>
              <w:bottom w:w="115" w:type="dxa"/>
              <w:right w:w="115" w:type="dxa"/>
            </w:tcMar>
          </w:tcPr>
          <w:p w14:paraId="5E031CDD" w14:textId="207F052A" w:rsidR="00694390" w:rsidRPr="00D4360B" w:rsidRDefault="00142C1C" w:rsidP="005A7EAD">
            <w:pPr>
              <w:spacing w:after="0"/>
              <w:rPr>
                <w:highlight w:val="yellow"/>
                <w:lang w:val="es-PE"/>
              </w:rPr>
            </w:pPr>
            <w:r>
              <w:rPr>
                <w:noProof/>
              </w:rPr>
              <w:drawing>
                <wp:anchor distT="0" distB="0" distL="114300" distR="114300" simplePos="0" relativeHeight="251658244" behindDoc="0" locked="0" layoutInCell="1" allowOverlap="1" wp14:anchorId="15BAE278" wp14:editId="43581A14">
                  <wp:simplePos x="0" y="0"/>
                  <wp:positionH relativeFrom="column">
                    <wp:posOffset>60325</wp:posOffset>
                  </wp:positionH>
                  <wp:positionV relativeFrom="paragraph">
                    <wp:posOffset>0</wp:posOffset>
                  </wp:positionV>
                  <wp:extent cx="1819910" cy="1819910"/>
                  <wp:effectExtent l="0" t="0" r="0" b="0"/>
                  <wp:wrapSquare wrapText="bothSides"/>
                  <wp:docPr id="865743640" name="Picture 5" descr="A green sign with a dollar sign and a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43640" name="Picture 5" descr="A green sign with a dollar sign and a dollar sign&#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19910" cy="1819910"/>
                          </a:xfrm>
                          <a:prstGeom prst="rect">
                            <a:avLst/>
                          </a:prstGeom>
                        </pic:spPr>
                      </pic:pic>
                    </a:graphicData>
                  </a:graphic>
                  <wp14:sizeRelH relativeFrom="page">
                    <wp14:pctWidth>0</wp14:pctWidth>
                  </wp14:sizeRelH>
                  <wp14:sizeRelV relativeFrom="page">
                    <wp14:pctHeight>0</wp14:pctHeight>
                  </wp14:sizeRelV>
                </wp:anchor>
              </w:drawing>
            </w:r>
          </w:p>
        </w:tc>
        <w:tc>
          <w:tcPr>
            <w:tcW w:w="6995" w:type="dxa"/>
            <w:shd w:val="clear" w:color="auto" w:fill="D9C8DE"/>
            <w:tcMar>
              <w:top w:w="115" w:type="dxa"/>
              <w:left w:w="115" w:type="dxa"/>
              <w:bottom w:w="115" w:type="dxa"/>
              <w:right w:w="115" w:type="dxa"/>
            </w:tcMar>
          </w:tcPr>
          <w:p w14:paraId="3877385B" w14:textId="2C5858C8" w:rsidR="00694390" w:rsidRPr="00147893" w:rsidRDefault="008945FE" w:rsidP="005A7EAD">
            <w:pPr>
              <w:spacing w:after="0"/>
              <w:rPr>
                <w:lang w:val="es-PE"/>
              </w:rPr>
            </w:pPr>
            <w:r w:rsidRPr="00147893">
              <w:rPr>
                <w:lang w:val="es-PE"/>
              </w:rPr>
              <w:t>¿Aún no ha presentado su declaración de impuestos del 2024? Hágalo pronto para seguir siendo elegible para obtener ahorros en la prima en el 2026. La presentación electrónica puede ayudarle a evitar retrasos en el procesamiento del IRS.</w:t>
            </w:r>
          </w:p>
        </w:tc>
      </w:tr>
      <w:tr w:rsidR="00E403A6" w:rsidRPr="00D4360B" w14:paraId="3AC4D274" w14:textId="77777777" w:rsidTr="00E108F7">
        <w:trPr>
          <w:trHeight w:val="1940"/>
        </w:trPr>
        <w:tc>
          <w:tcPr>
            <w:tcW w:w="3325" w:type="dxa"/>
            <w:shd w:val="clear" w:color="auto" w:fill="D9C8DE"/>
            <w:tcMar>
              <w:top w:w="115" w:type="dxa"/>
              <w:left w:w="115" w:type="dxa"/>
              <w:bottom w:w="115" w:type="dxa"/>
              <w:right w:w="115" w:type="dxa"/>
            </w:tcMar>
          </w:tcPr>
          <w:p w14:paraId="032F387B" w14:textId="7DE0DA60" w:rsidR="00694390" w:rsidRPr="00D4360B" w:rsidRDefault="005F72AA" w:rsidP="005A7EAD">
            <w:pPr>
              <w:spacing w:after="0"/>
              <w:rPr>
                <w:highlight w:val="yellow"/>
                <w:lang w:val="es-PE"/>
              </w:rPr>
            </w:pPr>
            <w:r>
              <w:rPr>
                <w:noProof/>
              </w:rPr>
              <w:drawing>
                <wp:anchor distT="0" distB="0" distL="114300" distR="114300" simplePos="0" relativeHeight="251658245" behindDoc="0" locked="0" layoutInCell="1" allowOverlap="1" wp14:anchorId="6776B60D" wp14:editId="2F49F566">
                  <wp:simplePos x="0" y="0"/>
                  <wp:positionH relativeFrom="column">
                    <wp:posOffset>60325</wp:posOffset>
                  </wp:positionH>
                  <wp:positionV relativeFrom="paragraph">
                    <wp:posOffset>0</wp:posOffset>
                  </wp:positionV>
                  <wp:extent cx="1819910" cy="1819910"/>
                  <wp:effectExtent l="0" t="0" r="0" b="0"/>
                  <wp:wrapSquare wrapText="bothSides"/>
                  <wp:docPr id="990712510" name="Picture 6" descr="A group of peop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12510" name="Picture 6" descr="A group of people with white text&#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19910" cy="1819910"/>
                          </a:xfrm>
                          <a:prstGeom prst="rect">
                            <a:avLst/>
                          </a:prstGeom>
                        </pic:spPr>
                      </pic:pic>
                    </a:graphicData>
                  </a:graphic>
                  <wp14:sizeRelH relativeFrom="page">
                    <wp14:pctWidth>0</wp14:pctWidth>
                  </wp14:sizeRelH>
                  <wp14:sizeRelV relativeFrom="page">
                    <wp14:pctHeight>0</wp14:pctHeight>
                  </wp14:sizeRelV>
                </wp:anchor>
              </w:drawing>
            </w:r>
          </w:p>
        </w:tc>
        <w:tc>
          <w:tcPr>
            <w:tcW w:w="6995" w:type="dxa"/>
            <w:shd w:val="clear" w:color="auto" w:fill="D9C8DE"/>
            <w:tcMar>
              <w:top w:w="115" w:type="dxa"/>
              <w:left w:w="115" w:type="dxa"/>
              <w:bottom w:w="115" w:type="dxa"/>
              <w:right w:w="115" w:type="dxa"/>
            </w:tcMar>
          </w:tcPr>
          <w:p w14:paraId="459686F9" w14:textId="20AC6ED7" w:rsidR="00694390" w:rsidRPr="00147893" w:rsidRDefault="00767810" w:rsidP="005A7EAD">
            <w:pPr>
              <w:spacing w:after="0"/>
              <w:rPr>
                <w:lang w:val="es-PE"/>
              </w:rPr>
            </w:pPr>
            <w:r w:rsidRPr="00147893">
              <w:rPr>
                <w:lang w:val="es-PE"/>
              </w:rPr>
              <w:t>Las nuevas reglas federales afectarán quiénes califican para créditos fiscales a través de [MERCADO]. Algunos inmigrantes, incluyendo a los beneficiarios de DACA, se verán afectados. Estamos aquí para ayudarle a comprender qué significan estos cambios para usted y su familia. Visite [URL] o llame al [XXX-XXX-XXXX] para obtener ayuda gratuita.</w:t>
            </w:r>
          </w:p>
        </w:tc>
      </w:tr>
      <w:tr w:rsidR="00E403A6" w:rsidRPr="00D4360B" w14:paraId="58D561B3" w14:textId="77777777" w:rsidTr="005E7A6A">
        <w:trPr>
          <w:trHeight w:val="2390"/>
        </w:trPr>
        <w:tc>
          <w:tcPr>
            <w:tcW w:w="3325" w:type="dxa"/>
            <w:tcBorders>
              <w:bottom w:val="single" w:sz="8" w:space="0" w:color="FFFFFF" w:themeColor="background1"/>
            </w:tcBorders>
            <w:shd w:val="clear" w:color="auto" w:fill="D9C8DE"/>
            <w:tcMar>
              <w:top w:w="115" w:type="dxa"/>
              <w:left w:w="115" w:type="dxa"/>
              <w:bottom w:w="115" w:type="dxa"/>
              <w:right w:w="115" w:type="dxa"/>
            </w:tcMar>
          </w:tcPr>
          <w:p w14:paraId="2BCA8E60" w14:textId="3626978D" w:rsidR="003D1831" w:rsidRPr="00D4360B" w:rsidRDefault="007D27DC" w:rsidP="00B53A4C">
            <w:pPr>
              <w:spacing w:after="0"/>
              <w:rPr>
                <w:highlight w:val="yellow"/>
                <w:lang w:val="es-PE"/>
              </w:rPr>
            </w:pPr>
            <w:r>
              <w:rPr>
                <w:noProof/>
              </w:rPr>
              <w:drawing>
                <wp:anchor distT="0" distB="0" distL="114300" distR="114300" simplePos="0" relativeHeight="251658246" behindDoc="0" locked="0" layoutInCell="1" allowOverlap="1" wp14:anchorId="306C3251" wp14:editId="1851CA40">
                  <wp:simplePos x="0" y="0"/>
                  <wp:positionH relativeFrom="column">
                    <wp:posOffset>58843</wp:posOffset>
                  </wp:positionH>
                  <wp:positionV relativeFrom="paragraph">
                    <wp:posOffset>0</wp:posOffset>
                  </wp:positionV>
                  <wp:extent cx="1819910" cy="1819910"/>
                  <wp:effectExtent l="0" t="0" r="0" b="0"/>
                  <wp:wrapSquare wrapText="bothSides"/>
                  <wp:docPr id="452728384" name="Picture 7" descr="A blue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28384" name="Picture 7" descr="A blue and white sign with tex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19910" cy="1819910"/>
                          </a:xfrm>
                          <a:prstGeom prst="rect">
                            <a:avLst/>
                          </a:prstGeom>
                        </pic:spPr>
                      </pic:pic>
                    </a:graphicData>
                  </a:graphic>
                  <wp14:sizeRelH relativeFrom="page">
                    <wp14:pctWidth>0</wp14:pctWidth>
                  </wp14:sizeRelH>
                  <wp14:sizeRelV relativeFrom="page">
                    <wp14:pctHeight>0</wp14:pctHeight>
                  </wp14:sizeRelV>
                </wp:anchor>
              </w:drawing>
            </w:r>
          </w:p>
        </w:tc>
        <w:tc>
          <w:tcPr>
            <w:tcW w:w="6995" w:type="dxa"/>
            <w:tcBorders>
              <w:bottom w:val="single" w:sz="8" w:space="0" w:color="FFFFFF" w:themeColor="background1"/>
            </w:tcBorders>
            <w:shd w:val="clear" w:color="auto" w:fill="D9C8DE"/>
            <w:tcMar>
              <w:top w:w="115" w:type="dxa"/>
              <w:left w:w="115" w:type="dxa"/>
              <w:bottom w:w="115" w:type="dxa"/>
              <w:right w:w="115" w:type="dxa"/>
            </w:tcMar>
          </w:tcPr>
          <w:p w14:paraId="14C4B160" w14:textId="081E6DFE" w:rsidR="00694390" w:rsidRPr="00147893" w:rsidRDefault="006A69D7" w:rsidP="00103409">
            <w:pPr>
              <w:spacing w:after="160"/>
              <w:rPr>
                <w:lang w:val="es-PE"/>
              </w:rPr>
            </w:pPr>
            <w:r w:rsidRPr="00147893">
              <w:rPr>
                <w:lang w:val="es-PE"/>
              </w:rPr>
              <w:t>Observe su cuenta de [MERCADO]. Nos pondremos en contacto con usted si necesitamos documentos como recibos de sueldo o formularios de impuestos para mantenerse asegurado/a. Responda con rapidez para evitar interrupciones en su cobertura médica.</w:t>
            </w:r>
          </w:p>
        </w:tc>
      </w:tr>
    </w:tbl>
    <w:p w14:paraId="317EC5A6" w14:textId="14A8B930" w:rsidR="008B373E" w:rsidRPr="00D4360B" w:rsidRDefault="008B373E" w:rsidP="00631E1D">
      <w:pPr>
        <w:pStyle w:val="Heading1"/>
      </w:pPr>
      <w:bookmarkStart w:id="10" w:name="_Toc206084510"/>
      <w:r w:rsidRPr="00631E1D">
        <w:lastRenderedPageBreak/>
        <w:t>Newsletter Blurbs</w:t>
      </w:r>
      <w:bookmarkEnd w:id="10"/>
    </w:p>
    <w:p w14:paraId="7F120AFB" w14:textId="2182EE62" w:rsidR="008B373E" w:rsidRDefault="008B373E" w:rsidP="008B373E">
      <w:pPr>
        <w:spacing w:after="160"/>
      </w:pPr>
      <w:r>
        <w:t>The following newsletter blurbs are designed for partners to share on behalf of the Marketplace in their state. This language can be used in email newsletters, community bulletins, or organizational updates to help inform stakeholders and prepare consumers ahead of open enrollment. Partners should be encouraged to customize the language to match their audience and communication style while reinforcing the Marketplace’s role as a trusted source of information and support.</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4" w:type="dxa"/>
          <w:left w:w="144" w:type="dxa"/>
          <w:bottom w:w="58" w:type="dxa"/>
          <w:right w:w="144" w:type="dxa"/>
        </w:tblCellMar>
        <w:tblLook w:val="04A0" w:firstRow="1" w:lastRow="0" w:firstColumn="1" w:lastColumn="0" w:noHBand="0" w:noVBand="1"/>
      </w:tblPr>
      <w:tblGrid>
        <w:gridCol w:w="10340"/>
      </w:tblGrid>
      <w:tr w:rsidR="008B373E" w14:paraId="5CE080BF" w14:textId="77777777" w:rsidTr="003827DC">
        <w:trPr>
          <w:cantSplit/>
        </w:trPr>
        <w:tc>
          <w:tcPr>
            <w:tcW w:w="10340" w:type="dxa"/>
            <w:shd w:val="clear" w:color="auto" w:fill="D9C8DE"/>
          </w:tcPr>
          <w:p w14:paraId="7EF28FCF" w14:textId="6F35D27E" w:rsidR="00B05845" w:rsidRPr="00514C99" w:rsidRDefault="00B05845" w:rsidP="00B05845">
            <w:pPr>
              <w:spacing w:after="160"/>
              <w:rPr>
                <w:b/>
                <w:bCs/>
                <w:lang w:val="es-PE"/>
              </w:rPr>
            </w:pPr>
            <w:r w:rsidRPr="00514C99">
              <w:rPr>
                <w:b/>
                <w:bCs/>
                <w:lang w:val="es-PE"/>
              </w:rPr>
              <w:t>Los Cambios Federales Podrían Afectar la Cobertura Médica</w:t>
            </w:r>
          </w:p>
          <w:p w14:paraId="10E92FEE" w14:textId="3A83F302" w:rsidR="008B373E" w:rsidRPr="00514C99" w:rsidRDefault="00B05845" w:rsidP="00B05845">
            <w:pPr>
              <w:spacing w:after="160"/>
              <w:rPr>
                <w:lang w:val="es-PE"/>
              </w:rPr>
            </w:pPr>
            <w:r w:rsidRPr="00514C99">
              <w:rPr>
                <w:lang w:val="es-PE"/>
              </w:rPr>
              <w:t>Las nuevas reglas federales afectarán la cobertura médica, los costos y la atención médica. [MERCADO] está preparado para ayudar a los [RESIDENTES DEL ESTADO] a adaptarse a los cambios y mantener su cobertura. Con la inscripción abierta a la vuelta de la esquina, es el momento de conocer los cambios y explorar sus opciones. Visite [URL].</w:t>
            </w:r>
          </w:p>
        </w:tc>
      </w:tr>
      <w:tr w:rsidR="008B373E" w14:paraId="4C87B03E" w14:textId="77777777" w:rsidTr="003827DC">
        <w:trPr>
          <w:cantSplit/>
        </w:trPr>
        <w:tc>
          <w:tcPr>
            <w:tcW w:w="10340" w:type="dxa"/>
            <w:shd w:val="clear" w:color="auto" w:fill="D9C8DE"/>
          </w:tcPr>
          <w:p w14:paraId="54E3F622" w14:textId="3781841F" w:rsidR="001043AA" w:rsidRPr="00514C99" w:rsidRDefault="001043AA" w:rsidP="001043AA">
            <w:pPr>
              <w:spacing w:after="160"/>
              <w:rPr>
                <w:b/>
                <w:bCs/>
                <w:lang w:val="es-PE"/>
              </w:rPr>
            </w:pPr>
            <w:r w:rsidRPr="00514C99">
              <w:rPr>
                <w:b/>
                <w:bCs/>
                <w:lang w:val="es-PE"/>
              </w:rPr>
              <w:t>Se Prevé un Aumento en los Costos de los Planes de Salud</w:t>
            </w:r>
          </w:p>
          <w:p w14:paraId="2BB7FD93" w14:textId="48665B5B" w:rsidR="008B373E" w:rsidRPr="00514C99" w:rsidRDefault="001043AA" w:rsidP="001043AA">
            <w:pPr>
              <w:spacing w:after="160"/>
              <w:rPr>
                <w:lang w:val="es-PE"/>
              </w:rPr>
            </w:pPr>
            <w:r w:rsidRPr="00514C99">
              <w:rPr>
                <w:lang w:val="es-PE"/>
              </w:rPr>
              <w:t>Debido a los cambios en las políticas federales, los planes de salud podrían costar más en el 2026. Si bien seguirá disponible cierta asistencia financiera, muchas personas podrían ver primas mensuales más altas. [MERCADO] está ayudando a los [RESIDENTES DEL ESTADO] a comprender las nuevas reglas y explorar sus opciones. Visite [URL] para explorar los planes y precios del 2026.</w:t>
            </w:r>
          </w:p>
        </w:tc>
      </w:tr>
      <w:tr w:rsidR="008B373E" w14:paraId="4D92957E" w14:textId="77777777" w:rsidTr="003827DC">
        <w:trPr>
          <w:cantSplit/>
        </w:trPr>
        <w:tc>
          <w:tcPr>
            <w:tcW w:w="10340" w:type="dxa"/>
            <w:shd w:val="clear" w:color="auto" w:fill="D9C8DE"/>
          </w:tcPr>
          <w:p w14:paraId="67065696" w14:textId="0C367996" w:rsidR="00A84FD3" w:rsidRPr="00514C99" w:rsidRDefault="00A84FD3" w:rsidP="00A84FD3">
            <w:pPr>
              <w:spacing w:after="160"/>
              <w:rPr>
                <w:b/>
                <w:bCs/>
                <w:lang w:val="es-PE"/>
              </w:rPr>
            </w:pPr>
            <w:r w:rsidRPr="00514C99">
              <w:rPr>
                <w:b/>
                <w:bCs/>
                <w:lang w:val="es-PE"/>
              </w:rPr>
              <w:t>Cambios en la Elegibilidad de Inmigrantes</w:t>
            </w:r>
          </w:p>
          <w:p w14:paraId="0C810B13" w14:textId="79349E04" w:rsidR="008B373E" w:rsidRPr="00514C99" w:rsidRDefault="00A84FD3" w:rsidP="00A84FD3">
            <w:pPr>
              <w:spacing w:after="160"/>
              <w:rPr>
                <w:lang w:val="es-PE"/>
              </w:rPr>
            </w:pPr>
            <w:r w:rsidRPr="00514C99">
              <w:rPr>
                <w:lang w:val="es-PE"/>
              </w:rPr>
              <w:t>Las nuevas reglas federales afectarán la elegibilidad del seguro médico para algunos inmigrantes a partir del 2026. Es posible que ciertas personas que anteriormente calificaban para recibir ayuda financiera a través de [MERCADO] ya no sean elegibles. Sin embargo, otros familiares aún podrían calificar. [MERCADO] se compromete a ayudar a [RESIDENTES DEL ESTADO] a comprender las nuevas reglas y sus opciones de plan de salud para el 2026. Visite [URL] para obtener asistencia gratuita con la inscripción.</w:t>
            </w:r>
          </w:p>
        </w:tc>
      </w:tr>
      <w:tr w:rsidR="008B373E" w:rsidRPr="00D4360B" w14:paraId="10169FF7" w14:textId="77777777" w:rsidTr="003827DC">
        <w:trPr>
          <w:cantSplit/>
        </w:trPr>
        <w:tc>
          <w:tcPr>
            <w:tcW w:w="10340" w:type="dxa"/>
            <w:shd w:val="clear" w:color="auto" w:fill="D9C8DE"/>
          </w:tcPr>
          <w:p w14:paraId="6AB81FC1" w14:textId="77777777" w:rsidR="000F705B" w:rsidRPr="00514C99" w:rsidRDefault="000F705B" w:rsidP="000F705B">
            <w:pPr>
              <w:spacing w:after="160"/>
              <w:rPr>
                <w:b/>
                <w:bCs/>
                <w:lang w:val="es-PE"/>
              </w:rPr>
            </w:pPr>
            <w:r w:rsidRPr="00514C99">
              <w:rPr>
                <w:b/>
                <w:bCs/>
                <w:lang w:val="es-PE"/>
              </w:rPr>
              <w:t>La Cobertura de la Atención de Afirmación de Género Podría Cambiar.</w:t>
            </w:r>
          </w:p>
          <w:p w14:paraId="42714FFE" w14:textId="34A720EE" w:rsidR="008B373E" w:rsidRPr="00514C99" w:rsidRDefault="000F705B" w:rsidP="000F705B">
            <w:pPr>
              <w:spacing w:after="160"/>
              <w:rPr>
                <w:lang w:val="es-PE"/>
              </w:rPr>
            </w:pPr>
            <w:r w:rsidRPr="00514C99">
              <w:rPr>
                <w:lang w:val="es-PE"/>
              </w:rPr>
              <w:t>Bajo las nuevas reglas federales, es posible que algunos planes de salud ya no cubran la atención de afirmación de género. La inscripción abierta a través de [MERCADO] es un momento importante para que las personas revisen los detalles del plan y se aseguren que los servicios que necesitan estén cubiertos. [MERCADO] ofrece asistencia gratuita para encontrar el plan adecuado: [URL]</w:t>
            </w:r>
          </w:p>
        </w:tc>
      </w:tr>
    </w:tbl>
    <w:p w14:paraId="598972C5" w14:textId="17C0ABAE" w:rsidR="00F119F3" w:rsidRPr="00F119F3" w:rsidRDefault="00F119F3" w:rsidP="00F119F3">
      <w:pPr>
        <w:tabs>
          <w:tab w:val="left" w:pos="1641"/>
        </w:tabs>
        <w:rPr>
          <w:lang w:val="es-PE"/>
        </w:rPr>
      </w:pPr>
    </w:p>
    <w:sectPr w:rsidR="00F119F3" w:rsidRPr="00F119F3" w:rsidSect="002649C1">
      <w:headerReference w:type="default" r:id="rId23"/>
      <w:footerReference w:type="default" r:id="rId24"/>
      <w:headerReference w:type="first" r:id="rId25"/>
      <w:footerReference w:type="first" r:id="rId26"/>
      <w:pgSz w:w="12240" w:h="15840"/>
      <w:pgMar w:top="945" w:right="900" w:bottom="1008" w:left="990" w:header="249" w:footer="35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1CB0F" w14:textId="77777777" w:rsidR="008C7E8D" w:rsidRDefault="008C7E8D" w:rsidP="003A78C2">
      <w:r>
        <w:separator/>
      </w:r>
    </w:p>
  </w:endnote>
  <w:endnote w:type="continuationSeparator" w:id="0">
    <w:p w14:paraId="323A4AE3" w14:textId="77777777" w:rsidR="008C7E8D" w:rsidRDefault="008C7E8D" w:rsidP="003A78C2">
      <w:r>
        <w:continuationSeparator/>
      </w:r>
    </w:p>
  </w:endnote>
  <w:endnote w:type="continuationNotice" w:id="1">
    <w:p w14:paraId="1B126033" w14:textId="77777777" w:rsidR="008C7E8D" w:rsidRDefault="008C7E8D" w:rsidP="003A7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venir Black">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6504" w14:textId="7573A735" w:rsidR="00A02AE7" w:rsidRPr="00103409" w:rsidRDefault="00103409" w:rsidP="00103409">
    <w:pPr>
      <w:rPr>
        <w:rFonts w:ascii="Avenir Black" w:hAnsi="Avenir Black"/>
        <w:b/>
        <w:bCs/>
        <w:color w:val="5F295C"/>
        <w:sz w:val="18"/>
        <w:szCs w:val="18"/>
      </w:rPr>
    </w:pPr>
    <w:r w:rsidRPr="003A78C2">
      <w:rPr>
        <w:rFonts w:ascii="Avenir Black" w:hAnsi="Avenir Black"/>
        <w:b/>
        <w:bCs/>
        <w:color w:val="5F295C"/>
        <w:spacing w:val="10"/>
        <w:sz w:val="15"/>
        <w:szCs w:val="15"/>
      </w:rPr>
      <w:t>OPEN ENROLLMENT 2025 TOOLKIT</w:t>
    </w:r>
    <w:r w:rsidRPr="003A78C2">
      <w:rPr>
        <w:sz w:val="16"/>
        <w:szCs w:val="16"/>
      </w:rPr>
      <w:tab/>
    </w:r>
    <w:r w:rsidRPr="003A78C2">
      <w:rPr>
        <w:sz w:val="20"/>
        <w:szCs w:val="20"/>
      </w:rPr>
      <w:tab/>
    </w:r>
    <w:r w:rsidRPr="003A78C2">
      <w:rPr>
        <w:sz w:val="20"/>
        <w:szCs w:val="20"/>
      </w:rPr>
      <w:tab/>
    </w:r>
    <w:r w:rsidRPr="003A78C2">
      <w:rPr>
        <w:sz w:val="20"/>
        <w:szCs w:val="20"/>
      </w:rPr>
      <w:tab/>
    </w:r>
    <w:r w:rsidRPr="003A78C2">
      <w:rPr>
        <w:sz w:val="20"/>
        <w:szCs w:val="20"/>
      </w:rPr>
      <w:tab/>
    </w:r>
    <w:r w:rsidRPr="003A78C2">
      <w:rPr>
        <w:sz w:val="20"/>
        <w:szCs w:val="20"/>
      </w:rPr>
      <w:tab/>
    </w:r>
    <w:r w:rsidRPr="003A78C2">
      <w:rPr>
        <w:sz w:val="20"/>
        <w:szCs w:val="20"/>
      </w:rPr>
      <w:tab/>
    </w:r>
    <w:r w:rsidRPr="003A78C2">
      <w:rPr>
        <w:sz w:val="20"/>
        <w:szCs w:val="20"/>
      </w:rPr>
      <w:tab/>
    </w:r>
    <w:r w:rsidRPr="003A78C2">
      <w:rPr>
        <w:sz w:val="20"/>
        <w:szCs w:val="20"/>
      </w:rPr>
      <w:tab/>
    </w:r>
    <w:r>
      <w:rPr>
        <w:sz w:val="20"/>
        <w:szCs w:val="20"/>
      </w:rPr>
      <w:tab/>
    </w:r>
    <w:r w:rsidRPr="003A78C2">
      <w:rPr>
        <w:rFonts w:ascii="Avenir Black" w:hAnsi="Avenir Black"/>
        <w:b/>
        <w:bCs/>
        <w:color w:val="000000" w:themeColor="text1"/>
        <w:sz w:val="20"/>
        <w:szCs w:val="20"/>
      </w:rPr>
      <w:fldChar w:fldCharType="begin"/>
    </w:r>
    <w:r w:rsidRPr="003A78C2">
      <w:rPr>
        <w:rFonts w:ascii="Avenir Black" w:hAnsi="Avenir Black"/>
        <w:b/>
        <w:bCs/>
        <w:color w:val="000000" w:themeColor="text1"/>
        <w:sz w:val="20"/>
        <w:szCs w:val="20"/>
      </w:rPr>
      <w:instrText>PAGE</w:instrText>
    </w:r>
    <w:r w:rsidRPr="003A78C2">
      <w:rPr>
        <w:rFonts w:ascii="Avenir Black" w:hAnsi="Avenir Black"/>
        <w:b/>
        <w:bCs/>
        <w:color w:val="000000" w:themeColor="text1"/>
        <w:sz w:val="20"/>
        <w:szCs w:val="20"/>
      </w:rPr>
      <w:fldChar w:fldCharType="separate"/>
    </w:r>
    <w:r>
      <w:rPr>
        <w:rFonts w:ascii="Avenir Black" w:hAnsi="Avenir Black"/>
        <w:b/>
        <w:bCs/>
        <w:color w:val="000000" w:themeColor="text1"/>
        <w:szCs w:val="20"/>
      </w:rPr>
      <w:t>1</w:t>
    </w:r>
    <w:r w:rsidRPr="003A78C2">
      <w:rPr>
        <w:rFonts w:ascii="Avenir Black" w:hAnsi="Avenir Black"/>
        <w:b/>
        <w:bCs/>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339A" w14:textId="5B1D0542" w:rsidR="0063432F" w:rsidRPr="0063432F" w:rsidRDefault="0063432F" w:rsidP="0063432F">
    <w:pPr>
      <w:jc w:val="center"/>
      <w:rPr>
        <w:i/>
        <w:iCs/>
        <w:color w:val="000000"/>
        <w:bdr w:val="none" w:sz="0" w:space="0" w:color="auto" w:frame="1"/>
      </w:rPr>
    </w:pPr>
    <w:r w:rsidRPr="0063432F">
      <w:rPr>
        <w:rStyle w:val="normaltextrun"/>
        <w:i/>
        <w:iCs/>
        <w:color w:val="000000"/>
        <w:bdr w:val="none" w:sz="0" w:space="0" w:color="auto" w:frame="1"/>
      </w:rPr>
      <w:t>Support for this toolkit was provided by the Robert Wood Johnson Foundation. The views expressed here do not necessarily reflect the views of the Foundation.</w:t>
    </w:r>
  </w:p>
  <w:p w14:paraId="4E84DADA" w14:textId="5EFE939B" w:rsidR="00A02AE7" w:rsidRPr="003A78C2" w:rsidRDefault="003A78C2" w:rsidP="0063432F">
    <w:pPr>
      <w:jc w:val="right"/>
      <w:rPr>
        <w:rFonts w:ascii="Avenir Black" w:hAnsi="Avenir Black"/>
        <w:b/>
        <w:bCs/>
        <w:color w:val="5F295C"/>
        <w:sz w:val="18"/>
        <w:szCs w:val="18"/>
      </w:rPr>
    </w:pPr>
    <w:r w:rsidRPr="003A78C2">
      <w:rPr>
        <w:sz w:val="20"/>
        <w:szCs w:val="20"/>
      </w:rPr>
      <w:tab/>
    </w:r>
    <w:r w:rsidRPr="003A78C2">
      <w:rPr>
        <w:sz w:val="20"/>
        <w:szCs w:val="20"/>
      </w:rPr>
      <w:tab/>
    </w:r>
    <w:r w:rsidRPr="003A78C2">
      <w:rPr>
        <w:sz w:val="20"/>
        <w:szCs w:val="20"/>
      </w:rPr>
      <w:tab/>
    </w:r>
    <w:r w:rsidRPr="003A78C2">
      <w:rPr>
        <w:sz w:val="20"/>
        <w:szCs w:val="20"/>
      </w:rPr>
      <w:tab/>
    </w:r>
    <w:r w:rsidR="7D54A2E2" w:rsidRPr="003A78C2">
      <w:rPr>
        <w:rFonts w:ascii="Avenir Black" w:hAnsi="Avenir Black"/>
        <w:b/>
        <w:bCs/>
        <w:color w:val="000000" w:themeColor="text1"/>
        <w:sz w:val="20"/>
        <w:szCs w:val="20"/>
      </w:rPr>
      <w:fldChar w:fldCharType="begin"/>
    </w:r>
    <w:r w:rsidR="7D54A2E2" w:rsidRPr="003A78C2">
      <w:rPr>
        <w:rFonts w:ascii="Avenir Black" w:hAnsi="Avenir Black"/>
        <w:b/>
        <w:bCs/>
        <w:color w:val="000000" w:themeColor="text1"/>
        <w:sz w:val="20"/>
        <w:szCs w:val="20"/>
      </w:rPr>
      <w:instrText>PAGE</w:instrText>
    </w:r>
    <w:r w:rsidR="7D54A2E2" w:rsidRPr="003A78C2">
      <w:rPr>
        <w:rFonts w:ascii="Avenir Black" w:hAnsi="Avenir Black"/>
        <w:b/>
        <w:bCs/>
        <w:color w:val="000000" w:themeColor="text1"/>
        <w:sz w:val="20"/>
        <w:szCs w:val="20"/>
      </w:rPr>
      <w:fldChar w:fldCharType="separate"/>
    </w:r>
    <w:r w:rsidR="61B0CF89" w:rsidRPr="003A78C2">
      <w:rPr>
        <w:rFonts w:ascii="Avenir Black" w:hAnsi="Avenir Black"/>
        <w:b/>
        <w:bCs/>
        <w:color w:val="000000" w:themeColor="text1"/>
        <w:sz w:val="20"/>
        <w:szCs w:val="20"/>
      </w:rPr>
      <w:t>1</w:t>
    </w:r>
    <w:r w:rsidR="7D54A2E2" w:rsidRPr="003A78C2">
      <w:rPr>
        <w:rFonts w:ascii="Avenir Black" w:hAnsi="Avenir Black"/>
        <w:b/>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54378" w14:textId="77777777" w:rsidR="008C7E8D" w:rsidRDefault="008C7E8D" w:rsidP="003A78C2">
      <w:r>
        <w:separator/>
      </w:r>
    </w:p>
  </w:footnote>
  <w:footnote w:type="continuationSeparator" w:id="0">
    <w:p w14:paraId="7EA7DBD1" w14:textId="77777777" w:rsidR="008C7E8D" w:rsidRDefault="008C7E8D" w:rsidP="003A78C2">
      <w:r>
        <w:continuationSeparator/>
      </w:r>
    </w:p>
  </w:footnote>
  <w:footnote w:type="continuationNotice" w:id="1">
    <w:p w14:paraId="5324B179" w14:textId="77777777" w:rsidR="008C7E8D" w:rsidRDefault="008C7E8D" w:rsidP="003A7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1B0CF89" w14:paraId="33FFDE1C" w14:textId="77777777" w:rsidTr="00226054">
      <w:trPr>
        <w:trHeight w:val="126"/>
      </w:trPr>
      <w:tc>
        <w:tcPr>
          <w:tcW w:w="3120" w:type="dxa"/>
        </w:tcPr>
        <w:p w14:paraId="693BF999" w14:textId="55C7001E" w:rsidR="61B0CF89" w:rsidRDefault="61B0CF89" w:rsidP="003A78C2">
          <w:pPr>
            <w:pStyle w:val="Header"/>
          </w:pPr>
        </w:p>
      </w:tc>
      <w:tc>
        <w:tcPr>
          <w:tcW w:w="3120" w:type="dxa"/>
        </w:tcPr>
        <w:p w14:paraId="24528D5B" w14:textId="47405480" w:rsidR="61B0CF89" w:rsidRDefault="61B0CF89" w:rsidP="003A78C2">
          <w:pPr>
            <w:pStyle w:val="Header"/>
          </w:pPr>
        </w:p>
      </w:tc>
      <w:tc>
        <w:tcPr>
          <w:tcW w:w="3120" w:type="dxa"/>
        </w:tcPr>
        <w:p w14:paraId="685A7175" w14:textId="0C39B4E4" w:rsidR="61B0CF89" w:rsidRDefault="61B0CF89" w:rsidP="003A78C2">
          <w:pPr>
            <w:pStyle w:val="Header"/>
          </w:pPr>
        </w:p>
      </w:tc>
    </w:tr>
  </w:tbl>
  <w:p w14:paraId="0A201F83" w14:textId="08E70142" w:rsidR="61B0CF89" w:rsidRDefault="61B0CF89" w:rsidP="003A7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D630" w14:textId="0A44A7E6" w:rsidR="00A02AE7" w:rsidRDefault="00DC4C47" w:rsidP="003A78C2">
    <w:r>
      <w:rPr>
        <w:noProof/>
      </w:rPr>
      <w:drawing>
        <wp:anchor distT="0" distB="0" distL="0" distR="0" simplePos="0" relativeHeight="251658240" behindDoc="1" locked="0" layoutInCell="1" hidden="0" allowOverlap="1" wp14:anchorId="3524AC8F" wp14:editId="55E37172">
          <wp:simplePos x="0" y="0"/>
          <wp:positionH relativeFrom="column">
            <wp:posOffset>-623570</wp:posOffset>
          </wp:positionH>
          <wp:positionV relativeFrom="paragraph">
            <wp:posOffset>-147056</wp:posOffset>
          </wp:positionV>
          <wp:extent cx="7753350" cy="1897748"/>
          <wp:effectExtent l="0" t="0" r="0" b="0"/>
          <wp:wrapNone/>
          <wp:docPr id="5470673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3350" cy="1897748"/>
                  </a:xfrm>
                  <a:prstGeom prst="rect">
                    <a:avLst/>
                  </a:prstGeom>
                  <a:ln/>
                </pic:spPr>
              </pic:pic>
            </a:graphicData>
          </a:graphic>
        </wp:anchor>
      </w:drawing>
    </w:r>
    <w:r w:rsidR="004076CA">
      <w:tab/>
    </w:r>
  </w:p>
</w:hdr>
</file>

<file path=word/intelligence2.xml><?xml version="1.0" encoding="utf-8"?>
<int2:intelligence xmlns:int2="http://schemas.microsoft.com/office/intelligence/2020/intelligence" xmlns:oel="http://schemas.microsoft.com/office/2019/extlst">
  <int2:observations>
    <int2:bookmark int2:bookmarkName="_Int_u23JBJ6S" int2:invalidationBookmarkName="" int2:hashCode="5OWGsxF0kU6fO4" int2:id="vzUGBRC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7F9"/>
    <w:multiLevelType w:val="hybridMultilevel"/>
    <w:tmpl w:val="AF7E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04D2"/>
    <w:multiLevelType w:val="hybridMultilevel"/>
    <w:tmpl w:val="28B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B1CA9"/>
    <w:multiLevelType w:val="hybridMultilevel"/>
    <w:tmpl w:val="7880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26E9D"/>
    <w:multiLevelType w:val="hybridMultilevel"/>
    <w:tmpl w:val="2F16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560F1"/>
    <w:multiLevelType w:val="multilevel"/>
    <w:tmpl w:val="78B2D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DC31B5"/>
    <w:multiLevelType w:val="multilevel"/>
    <w:tmpl w:val="5024D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70E2BA"/>
    <w:multiLevelType w:val="multilevel"/>
    <w:tmpl w:val="FFFFFFFF"/>
    <w:lvl w:ilvl="0">
      <w:numFmt w:val="none"/>
      <w:lvlText w:val=""/>
      <w:lvlJc w:val="left"/>
      <w:pPr>
        <w:tabs>
          <w:tab w:val="num" w:pos="360"/>
        </w:tabs>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7" w15:restartNumberingAfterBreak="0">
    <w:nsid w:val="227A55C1"/>
    <w:multiLevelType w:val="hybridMultilevel"/>
    <w:tmpl w:val="4338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17A26"/>
    <w:multiLevelType w:val="multilevel"/>
    <w:tmpl w:val="27A8BDEA"/>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4655D4C"/>
    <w:multiLevelType w:val="hybridMultilevel"/>
    <w:tmpl w:val="10D8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11C06"/>
    <w:multiLevelType w:val="hybridMultilevel"/>
    <w:tmpl w:val="91B6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F38A2"/>
    <w:multiLevelType w:val="multilevel"/>
    <w:tmpl w:val="A7249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26EAE"/>
    <w:multiLevelType w:val="hybridMultilevel"/>
    <w:tmpl w:val="A456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B019C"/>
    <w:multiLevelType w:val="hybridMultilevel"/>
    <w:tmpl w:val="D232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03957"/>
    <w:multiLevelType w:val="hybridMultilevel"/>
    <w:tmpl w:val="E2E8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213E8"/>
    <w:multiLevelType w:val="hybridMultilevel"/>
    <w:tmpl w:val="B230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D9730"/>
    <w:multiLevelType w:val="hybridMultilevel"/>
    <w:tmpl w:val="FC7254A4"/>
    <w:lvl w:ilvl="0" w:tplc="7E6A3314">
      <w:start w:val="1"/>
      <w:numFmt w:val="bullet"/>
      <w:lvlText w:val=""/>
      <w:lvlJc w:val="left"/>
      <w:pPr>
        <w:ind w:left="360" w:hanging="360"/>
      </w:pPr>
      <w:rPr>
        <w:rFonts w:ascii="Symbol" w:hAnsi="Symbol" w:hint="default"/>
      </w:rPr>
    </w:lvl>
    <w:lvl w:ilvl="1" w:tplc="058C0BF4">
      <w:start w:val="1"/>
      <w:numFmt w:val="bullet"/>
      <w:lvlText w:val="o"/>
      <w:lvlJc w:val="left"/>
      <w:pPr>
        <w:ind w:left="1080" w:hanging="360"/>
      </w:pPr>
      <w:rPr>
        <w:rFonts w:ascii="Courier New" w:hAnsi="Courier New" w:hint="default"/>
      </w:rPr>
    </w:lvl>
    <w:lvl w:ilvl="2" w:tplc="FE8003D2">
      <w:start w:val="1"/>
      <w:numFmt w:val="bullet"/>
      <w:lvlText w:val=""/>
      <w:lvlJc w:val="left"/>
      <w:pPr>
        <w:ind w:left="1800" w:hanging="360"/>
      </w:pPr>
      <w:rPr>
        <w:rFonts w:ascii="Wingdings" w:hAnsi="Wingdings" w:hint="default"/>
      </w:rPr>
    </w:lvl>
    <w:lvl w:ilvl="3" w:tplc="05CE1ABA">
      <w:start w:val="1"/>
      <w:numFmt w:val="bullet"/>
      <w:lvlText w:val=""/>
      <w:lvlJc w:val="left"/>
      <w:pPr>
        <w:ind w:left="2520" w:hanging="360"/>
      </w:pPr>
      <w:rPr>
        <w:rFonts w:ascii="Symbol" w:hAnsi="Symbol" w:hint="default"/>
      </w:rPr>
    </w:lvl>
    <w:lvl w:ilvl="4" w:tplc="A20E70D2">
      <w:start w:val="1"/>
      <w:numFmt w:val="bullet"/>
      <w:lvlText w:val="o"/>
      <w:lvlJc w:val="left"/>
      <w:pPr>
        <w:ind w:left="3240" w:hanging="360"/>
      </w:pPr>
      <w:rPr>
        <w:rFonts w:ascii="Courier New" w:hAnsi="Courier New" w:hint="default"/>
      </w:rPr>
    </w:lvl>
    <w:lvl w:ilvl="5" w:tplc="BF165890">
      <w:start w:val="1"/>
      <w:numFmt w:val="bullet"/>
      <w:lvlText w:val=""/>
      <w:lvlJc w:val="left"/>
      <w:pPr>
        <w:ind w:left="3960" w:hanging="360"/>
      </w:pPr>
      <w:rPr>
        <w:rFonts w:ascii="Wingdings" w:hAnsi="Wingdings" w:hint="default"/>
      </w:rPr>
    </w:lvl>
    <w:lvl w:ilvl="6" w:tplc="186EAAA8">
      <w:start w:val="1"/>
      <w:numFmt w:val="bullet"/>
      <w:lvlText w:val=""/>
      <w:lvlJc w:val="left"/>
      <w:pPr>
        <w:ind w:left="4680" w:hanging="360"/>
      </w:pPr>
      <w:rPr>
        <w:rFonts w:ascii="Symbol" w:hAnsi="Symbol" w:hint="default"/>
      </w:rPr>
    </w:lvl>
    <w:lvl w:ilvl="7" w:tplc="94782BB4">
      <w:start w:val="1"/>
      <w:numFmt w:val="bullet"/>
      <w:lvlText w:val="o"/>
      <w:lvlJc w:val="left"/>
      <w:pPr>
        <w:ind w:left="5400" w:hanging="360"/>
      </w:pPr>
      <w:rPr>
        <w:rFonts w:ascii="Courier New" w:hAnsi="Courier New" w:hint="default"/>
      </w:rPr>
    </w:lvl>
    <w:lvl w:ilvl="8" w:tplc="F3F83448">
      <w:start w:val="1"/>
      <w:numFmt w:val="bullet"/>
      <w:lvlText w:val=""/>
      <w:lvlJc w:val="left"/>
      <w:pPr>
        <w:ind w:left="6120" w:hanging="360"/>
      </w:pPr>
      <w:rPr>
        <w:rFonts w:ascii="Wingdings" w:hAnsi="Wingdings" w:hint="default"/>
      </w:rPr>
    </w:lvl>
  </w:abstractNum>
  <w:abstractNum w:abstractNumId="17" w15:restartNumberingAfterBreak="0">
    <w:nsid w:val="40B23E9E"/>
    <w:multiLevelType w:val="hybridMultilevel"/>
    <w:tmpl w:val="D196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52D3A"/>
    <w:multiLevelType w:val="hybridMultilevel"/>
    <w:tmpl w:val="65C0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65BA5"/>
    <w:multiLevelType w:val="multilevel"/>
    <w:tmpl w:val="3C40C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F242AA"/>
    <w:multiLevelType w:val="multilevel"/>
    <w:tmpl w:val="9008E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8622D2"/>
    <w:multiLevelType w:val="multilevel"/>
    <w:tmpl w:val="F5729D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6F4028AD"/>
    <w:multiLevelType w:val="multilevel"/>
    <w:tmpl w:val="83D60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821F5E"/>
    <w:multiLevelType w:val="hybridMultilevel"/>
    <w:tmpl w:val="DF9E4134"/>
    <w:lvl w:ilvl="0" w:tplc="312260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C00FD"/>
    <w:multiLevelType w:val="hybridMultilevel"/>
    <w:tmpl w:val="3F7A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53315"/>
    <w:multiLevelType w:val="hybridMultilevel"/>
    <w:tmpl w:val="D12E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72887"/>
    <w:multiLevelType w:val="hybridMultilevel"/>
    <w:tmpl w:val="FFFFFFFF"/>
    <w:lvl w:ilvl="0" w:tplc="E4FAE54A">
      <w:start w:val="1"/>
      <w:numFmt w:val="decimal"/>
      <w:lvlText w:val="%1."/>
      <w:lvlJc w:val="left"/>
      <w:pPr>
        <w:ind w:left="720" w:hanging="360"/>
      </w:pPr>
    </w:lvl>
    <w:lvl w:ilvl="1" w:tplc="FFA4D30E">
      <w:start w:val="1"/>
      <w:numFmt w:val="lowerLetter"/>
      <w:lvlText w:val="%2."/>
      <w:lvlJc w:val="left"/>
      <w:pPr>
        <w:ind w:left="1440" w:hanging="360"/>
      </w:pPr>
    </w:lvl>
    <w:lvl w:ilvl="2" w:tplc="77FA2186">
      <w:start w:val="1"/>
      <w:numFmt w:val="lowerRoman"/>
      <w:lvlText w:val="%3."/>
      <w:lvlJc w:val="right"/>
      <w:pPr>
        <w:ind w:left="2160" w:hanging="180"/>
      </w:pPr>
    </w:lvl>
    <w:lvl w:ilvl="3" w:tplc="63286D7E">
      <w:start w:val="1"/>
      <w:numFmt w:val="decimal"/>
      <w:lvlText w:val="%4."/>
      <w:lvlJc w:val="left"/>
      <w:pPr>
        <w:ind w:left="2880" w:hanging="360"/>
      </w:pPr>
    </w:lvl>
    <w:lvl w:ilvl="4" w:tplc="FD1A5B6E">
      <w:start w:val="1"/>
      <w:numFmt w:val="lowerLetter"/>
      <w:lvlText w:val="%5."/>
      <w:lvlJc w:val="left"/>
      <w:pPr>
        <w:ind w:left="3600" w:hanging="360"/>
      </w:pPr>
    </w:lvl>
    <w:lvl w:ilvl="5" w:tplc="F0C6A194">
      <w:start w:val="1"/>
      <w:numFmt w:val="lowerRoman"/>
      <w:lvlText w:val="%6."/>
      <w:lvlJc w:val="right"/>
      <w:pPr>
        <w:ind w:left="4320" w:hanging="180"/>
      </w:pPr>
    </w:lvl>
    <w:lvl w:ilvl="6" w:tplc="18E4425E">
      <w:start w:val="1"/>
      <w:numFmt w:val="decimal"/>
      <w:lvlText w:val="%7."/>
      <w:lvlJc w:val="left"/>
      <w:pPr>
        <w:ind w:left="5040" w:hanging="360"/>
      </w:pPr>
    </w:lvl>
    <w:lvl w:ilvl="7" w:tplc="9832497E">
      <w:start w:val="1"/>
      <w:numFmt w:val="lowerLetter"/>
      <w:lvlText w:val="%8."/>
      <w:lvlJc w:val="left"/>
      <w:pPr>
        <w:ind w:left="5760" w:hanging="360"/>
      </w:pPr>
    </w:lvl>
    <w:lvl w:ilvl="8" w:tplc="DA4C561A">
      <w:start w:val="1"/>
      <w:numFmt w:val="lowerRoman"/>
      <w:lvlText w:val="%9."/>
      <w:lvlJc w:val="right"/>
      <w:pPr>
        <w:ind w:left="6480" w:hanging="180"/>
      </w:pPr>
    </w:lvl>
  </w:abstractNum>
  <w:num w:numId="1">
    <w:abstractNumId w:val="16"/>
  </w:num>
  <w:num w:numId="2">
    <w:abstractNumId w:val="26"/>
  </w:num>
  <w:num w:numId="3">
    <w:abstractNumId w:val="6"/>
  </w:num>
  <w:num w:numId="4">
    <w:abstractNumId w:val="5"/>
  </w:num>
  <w:num w:numId="5">
    <w:abstractNumId w:val="4"/>
  </w:num>
  <w:num w:numId="6">
    <w:abstractNumId w:val="20"/>
  </w:num>
  <w:num w:numId="7">
    <w:abstractNumId w:val="21"/>
  </w:num>
  <w:num w:numId="8">
    <w:abstractNumId w:val="19"/>
  </w:num>
  <w:num w:numId="9">
    <w:abstractNumId w:val="22"/>
  </w:num>
  <w:num w:numId="10">
    <w:abstractNumId w:val="11"/>
  </w:num>
  <w:num w:numId="11">
    <w:abstractNumId w:val="8"/>
  </w:num>
  <w:num w:numId="12">
    <w:abstractNumId w:val="15"/>
  </w:num>
  <w:num w:numId="13">
    <w:abstractNumId w:val="3"/>
  </w:num>
  <w:num w:numId="14">
    <w:abstractNumId w:val="23"/>
  </w:num>
  <w:num w:numId="15">
    <w:abstractNumId w:val="14"/>
  </w:num>
  <w:num w:numId="16">
    <w:abstractNumId w:val="17"/>
  </w:num>
  <w:num w:numId="17">
    <w:abstractNumId w:val="23"/>
  </w:num>
  <w:num w:numId="18">
    <w:abstractNumId w:val="18"/>
  </w:num>
  <w:num w:numId="19">
    <w:abstractNumId w:val="10"/>
  </w:num>
  <w:num w:numId="20">
    <w:abstractNumId w:val="0"/>
  </w:num>
  <w:num w:numId="21">
    <w:abstractNumId w:val="13"/>
  </w:num>
  <w:num w:numId="22">
    <w:abstractNumId w:val="9"/>
  </w:num>
  <w:num w:numId="23">
    <w:abstractNumId w:val="25"/>
  </w:num>
  <w:num w:numId="24">
    <w:abstractNumId w:val="24"/>
  </w:num>
  <w:num w:numId="25">
    <w:abstractNumId w:val="2"/>
  </w:num>
  <w:num w:numId="26">
    <w:abstractNumId w:val="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E7"/>
    <w:rsid w:val="00000B4E"/>
    <w:rsid w:val="00002D2B"/>
    <w:rsid w:val="000116A7"/>
    <w:rsid w:val="00020A26"/>
    <w:rsid w:val="00022F1C"/>
    <w:rsid w:val="00024B45"/>
    <w:rsid w:val="00026AB9"/>
    <w:rsid w:val="00026D88"/>
    <w:rsid w:val="00027FC7"/>
    <w:rsid w:val="0004389E"/>
    <w:rsid w:val="00065C07"/>
    <w:rsid w:val="0006678D"/>
    <w:rsid w:val="00066C92"/>
    <w:rsid w:val="000723CE"/>
    <w:rsid w:val="000853C5"/>
    <w:rsid w:val="00091104"/>
    <w:rsid w:val="000A0924"/>
    <w:rsid w:val="000A23A2"/>
    <w:rsid w:val="000A681F"/>
    <w:rsid w:val="000A6AC6"/>
    <w:rsid w:val="000B4EF1"/>
    <w:rsid w:val="000C1B25"/>
    <w:rsid w:val="000C6DC9"/>
    <w:rsid w:val="000C7E69"/>
    <w:rsid w:val="000D089D"/>
    <w:rsid w:val="000D4F28"/>
    <w:rsid w:val="000D501A"/>
    <w:rsid w:val="000F0D97"/>
    <w:rsid w:val="000F2765"/>
    <w:rsid w:val="000F284F"/>
    <w:rsid w:val="000F4526"/>
    <w:rsid w:val="000F6CAC"/>
    <w:rsid w:val="000F705B"/>
    <w:rsid w:val="00100543"/>
    <w:rsid w:val="00100788"/>
    <w:rsid w:val="00103409"/>
    <w:rsid w:val="001035C9"/>
    <w:rsid w:val="001043AA"/>
    <w:rsid w:val="001051AF"/>
    <w:rsid w:val="00106D0F"/>
    <w:rsid w:val="001074FA"/>
    <w:rsid w:val="00113D4C"/>
    <w:rsid w:val="00116715"/>
    <w:rsid w:val="0012050F"/>
    <w:rsid w:val="001304E0"/>
    <w:rsid w:val="00132A5D"/>
    <w:rsid w:val="00132ECF"/>
    <w:rsid w:val="0013337F"/>
    <w:rsid w:val="00140966"/>
    <w:rsid w:val="00142C1C"/>
    <w:rsid w:val="00147893"/>
    <w:rsid w:val="00150086"/>
    <w:rsid w:val="00152EB7"/>
    <w:rsid w:val="00155583"/>
    <w:rsid w:val="0015719E"/>
    <w:rsid w:val="00157E6F"/>
    <w:rsid w:val="00165016"/>
    <w:rsid w:val="00167034"/>
    <w:rsid w:val="00172136"/>
    <w:rsid w:val="00173E3E"/>
    <w:rsid w:val="00174A04"/>
    <w:rsid w:val="00177F2C"/>
    <w:rsid w:val="00182BEA"/>
    <w:rsid w:val="00182FA0"/>
    <w:rsid w:val="0018376D"/>
    <w:rsid w:val="001902DE"/>
    <w:rsid w:val="001A4840"/>
    <w:rsid w:val="001A72CF"/>
    <w:rsid w:val="001C440C"/>
    <w:rsid w:val="001C6863"/>
    <w:rsid w:val="001C7458"/>
    <w:rsid w:val="001D1EB8"/>
    <w:rsid w:val="001D3FB1"/>
    <w:rsid w:val="001D478D"/>
    <w:rsid w:val="001D599C"/>
    <w:rsid w:val="001E0A64"/>
    <w:rsid w:val="001E1AE8"/>
    <w:rsid w:val="001E41F6"/>
    <w:rsid w:val="001F058A"/>
    <w:rsid w:val="001F1537"/>
    <w:rsid w:val="001F1D40"/>
    <w:rsid w:val="001F4DF0"/>
    <w:rsid w:val="001F5737"/>
    <w:rsid w:val="001F6522"/>
    <w:rsid w:val="00200347"/>
    <w:rsid w:val="002056AA"/>
    <w:rsid w:val="00205DFF"/>
    <w:rsid w:val="002135EE"/>
    <w:rsid w:val="002140E1"/>
    <w:rsid w:val="00217106"/>
    <w:rsid w:val="00225EB2"/>
    <w:rsid w:val="00226054"/>
    <w:rsid w:val="002331DB"/>
    <w:rsid w:val="0023320B"/>
    <w:rsid w:val="002365E8"/>
    <w:rsid w:val="002404C1"/>
    <w:rsid w:val="002430CA"/>
    <w:rsid w:val="00247226"/>
    <w:rsid w:val="002504B5"/>
    <w:rsid w:val="00252AC6"/>
    <w:rsid w:val="00254515"/>
    <w:rsid w:val="00254A35"/>
    <w:rsid w:val="002649C1"/>
    <w:rsid w:val="00264D15"/>
    <w:rsid w:val="0027266F"/>
    <w:rsid w:val="00284BAD"/>
    <w:rsid w:val="002877B4"/>
    <w:rsid w:val="00287DBD"/>
    <w:rsid w:val="00287E9E"/>
    <w:rsid w:val="00291908"/>
    <w:rsid w:val="00293497"/>
    <w:rsid w:val="0029418F"/>
    <w:rsid w:val="002B5869"/>
    <w:rsid w:val="002B6571"/>
    <w:rsid w:val="002B6E6A"/>
    <w:rsid w:val="002B7CD9"/>
    <w:rsid w:val="002C02F5"/>
    <w:rsid w:val="002C3B08"/>
    <w:rsid w:val="002D62D4"/>
    <w:rsid w:val="002E18EA"/>
    <w:rsid w:val="002E1C6A"/>
    <w:rsid w:val="002E5536"/>
    <w:rsid w:val="002E6797"/>
    <w:rsid w:val="002F1157"/>
    <w:rsid w:val="002F22C1"/>
    <w:rsid w:val="002F2DA7"/>
    <w:rsid w:val="002F2ED1"/>
    <w:rsid w:val="003018AE"/>
    <w:rsid w:val="00301918"/>
    <w:rsid w:val="003134F5"/>
    <w:rsid w:val="00316938"/>
    <w:rsid w:val="00316F7E"/>
    <w:rsid w:val="00322CBA"/>
    <w:rsid w:val="00336544"/>
    <w:rsid w:val="003462A7"/>
    <w:rsid w:val="0034733D"/>
    <w:rsid w:val="00357753"/>
    <w:rsid w:val="00360D8A"/>
    <w:rsid w:val="003614F2"/>
    <w:rsid w:val="003617E0"/>
    <w:rsid w:val="00372391"/>
    <w:rsid w:val="00375115"/>
    <w:rsid w:val="003821FA"/>
    <w:rsid w:val="003827DC"/>
    <w:rsid w:val="00391DB9"/>
    <w:rsid w:val="003A78C2"/>
    <w:rsid w:val="003D0139"/>
    <w:rsid w:val="003D1831"/>
    <w:rsid w:val="003D4A53"/>
    <w:rsid w:val="003D562A"/>
    <w:rsid w:val="003D7F07"/>
    <w:rsid w:val="003E1402"/>
    <w:rsid w:val="003F03D2"/>
    <w:rsid w:val="004026FA"/>
    <w:rsid w:val="00402A9F"/>
    <w:rsid w:val="00402CCE"/>
    <w:rsid w:val="004076CA"/>
    <w:rsid w:val="00423954"/>
    <w:rsid w:val="004328E8"/>
    <w:rsid w:val="00433A67"/>
    <w:rsid w:val="00433B66"/>
    <w:rsid w:val="00433E84"/>
    <w:rsid w:val="00437A68"/>
    <w:rsid w:val="00443EB6"/>
    <w:rsid w:val="00450E4E"/>
    <w:rsid w:val="00451DE0"/>
    <w:rsid w:val="00452F71"/>
    <w:rsid w:val="00453FDF"/>
    <w:rsid w:val="00454058"/>
    <w:rsid w:val="00454AD6"/>
    <w:rsid w:val="00454B1A"/>
    <w:rsid w:val="00456070"/>
    <w:rsid w:val="00463C8A"/>
    <w:rsid w:val="00464F24"/>
    <w:rsid w:val="0046561C"/>
    <w:rsid w:val="00475045"/>
    <w:rsid w:val="00476178"/>
    <w:rsid w:val="00481FD5"/>
    <w:rsid w:val="00486A54"/>
    <w:rsid w:val="0049072C"/>
    <w:rsid w:val="004974A3"/>
    <w:rsid w:val="004979F4"/>
    <w:rsid w:val="004A152E"/>
    <w:rsid w:val="004A20B7"/>
    <w:rsid w:val="004A21D9"/>
    <w:rsid w:val="004A25EC"/>
    <w:rsid w:val="004B047D"/>
    <w:rsid w:val="004C25BE"/>
    <w:rsid w:val="004C3292"/>
    <w:rsid w:val="004C4E91"/>
    <w:rsid w:val="004C7E38"/>
    <w:rsid w:val="004E00D3"/>
    <w:rsid w:val="004E4A53"/>
    <w:rsid w:val="004E7FC4"/>
    <w:rsid w:val="004F5534"/>
    <w:rsid w:val="004F5F52"/>
    <w:rsid w:val="00505637"/>
    <w:rsid w:val="00514C99"/>
    <w:rsid w:val="005160B8"/>
    <w:rsid w:val="0052155C"/>
    <w:rsid w:val="005328C8"/>
    <w:rsid w:val="00540117"/>
    <w:rsid w:val="005409E0"/>
    <w:rsid w:val="00540CE7"/>
    <w:rsid w:val="0054223E"/>
    <w:rsid w:val="005456ED"/>
    <w:rsid w:val="00545E9E"/>
    <w:rsid w:val="0055304B"/>
    <w:rsid w:val="005536A0"/>
    <w:rsid w:val="0056307A"/>
    <w:rsid w:val="00564CC3"/>
    <w:rsid w:val="00575D04"/>
    <w:rsid w:val="00587AC3"/>
    <w:rsid w:val="00595380"/>
    <w:rsid w:val="005A24D5"/>
    <w:rsid w:val="005A3CC0"/>
    <w:rsid w:val="005A52AD"/>
    <w:rsid w:val="005A557B"/>
    <w:rsid w:val="005A638E"/>
    <w:rsid w:val="005A7221"/>
    <w:rsid w:val="005A7EAD"/>
    <w:rsid w:val="005B74B6"/>
    <w:rsid w:val="005C2FB8"/>
    <w:rsid w:val="005C3D4F"/>
    <w:rsid w:val="005D3487"/>
    <w:rsid w:val="005D4EB9"/>
    <w:rsid w:val="005E1C78"/>
    <w:rsid w:val="005E25A4"/>
    <w:rsid w:val="005E5536"/>
    <w:rsid w:val="005E579E"/>
    <w:rsid w:val="005E6758"/>
    <w:rsid w:val="005E75E1"/>
    <w:rsid w:val="005E7A6A"/>
    <w:rsid w:val="005F25CA"/>
    <w:rsid w:val="005F31DB"/>
    <w:rsid w:val="005F72AA"/>
    <w:rsid w:val="00613A98"/>
    <w:rsid w:val="0061732D"/>
    <w:rsid w:val="00622875"/>
    <w:rsid w:val="00631E1D"/>
    <w:rsid w:val="00632CFC"/>
    <w:rsid w:val="0063432F"/>
    <w:rsid w:val="0063720C"/>
    <w:rsid w:val="006378F4"/>
    <w:rsid w:val="00642E10"/>
    <w:rsid w:val="0065304A"/>
    <w:rsid w:val="0066179F"/>
    <w:rsid w:val="0066514D"/>
    <w:rsid w:val="00672EB6"/>
    <w:rsid w:val="00674B11"/>
    <w:rsid w:val="0068012E"/>
    <w:rsid w:val="00686273"/>
    <w:rsid w:val="00686FF5"/>
    <w:rsid w:val="00694390"/>
    <w:rsid w:val="006961E7"/>
    <w:rsid w:val="006A0775"/>
    <w:rsid w:val="006A69D7"/>
    <w:rsid w:val="006B399F"/>
    <w:rsid w:val="006B3EB1"/>
    <w:rsid w:val="006B586D"/>
    <w:rsid w:val="006C0890"/>
    <w:rsid w:val="006C10F6"/>
    <w:rsid w:val="006C1AD3"/>
    <w:rsid w:val="006C4F02"/>
    <w:rsid w:val="006C6289"/>
    <w:rsid w:val="006C712A"/>
    <w:rsid w:val="006D2B1B"/>
    <w:rsid w:val="006E2982"/>
    <w:rsid w:val="006E5D77"/>
    <w:rsid w:val="006F3B51"/>
    <w:rsid w:val="006F479C"/>
    <w:rsid w:val="00700053"/>
    <w:rsid w:val="00705AAE"/>
    <w:rsid w:val="00711CA0"/>
    <w:rsid w:val="00712279"/>
    <w:rsid w:val="00713219"/>
    <w:rsid w:val="00723FA2"/>
    <w:rsid w:val="00724DEC"/>
    <w:rsid w:val="007250C2"/>
    <w:rsid w:val="007317A7"/>
    <w:rsid w:val="0073470D"/>
    <w:rsid w:val="00746C96"/>
    <w:rsid w:val="00752EFB"/>
    <w:rsid w:val="00753692"/>
    <w:rsid w:val="00756252"/>
    <w:rsid w:val="00757589"/>
    <w:rsid w:val="00762865"/>
    <w:rsid w:val="00762BD5"/>
    <w:rsid w:val="00764803"/>
    <w:rsid w:val="007652D9"/>
    <w:rsid w:val="00767810"/>
    <w:rsid w:val="00776683"/>
    <w:rsid w:val="00781B60"/>
    <w:rsid w:val="00783658"/>
    <w:rsid w:val="00790DEC"/>
    <w:rsid w:val="007A5510"/>
    <w:rsid w:val="007A7635"/>
    <w:rsid w:val="007C5AF7"/>
    <w:rsid w:val="007C75A4"/>
    <w:rsid w:val="007D1214"/>
    <w:rsid w:val="007D27DC"/>
    <w:rsid w:val="007D3FF9"/>
    <w:rsid w:val="007D5C89"/>
    <w:rsid w:val="007D6AAD"/>
    <w:rsid w:val="007E0352"/>
    <w:rsid w:val="007E1766"/>
    <w:rsid w:val="007E323C"/>
    <w:rsid w:val="007E5068"/>
    <w:rsid w:val="007F19DE"/>
    <w:rsid w:val="007F4D1C"/>
    <w:rsid w:val="007F5CDC"/>
    <w:rsid w:val="007F664A"/>
    <w:rsid w:val="007F7F9C"/>
    <w:rsid w:val="0080069A"/>
    <w:rsid w:val="00803F4B"/>
    <w:rsid w:val="0081154D"/>
    <w:rsid w:val="00811707"/>
    <w:rsid w:val="00812438"/>
    <w:rsid w:val="008219A8"/>
    <w:rsid w:val="00821DB2"/>
    <w:rsid w:val="00823CDF"/>
    <w:rsid w:val="00825597"/>
    <w:rsid w:val="00831392"/>
    <w:rsid w:val="00836C01"/>
    <w:rsid w:val="0084432C"/>
    <w:rsid w:val="008473D9"/>
    <w:rsid w:val="00853858"/>
    <w:rsid w:val="0085419E"/>
    <w:rsid w:val="00854687"/>
    <w:rsid w:val="00854749"/>
    <w:rsid w:val="008554A7"/>
    <w:rsid w:val="00864CE2"/>
    <w:rsid w:val="00872C95"/>
    <w:rsid w:val="00883252"/>
    <w:rsid w:val="00885087"/>
    <w:rsid w:val="0088508A"/>
    <w:rsid w:val="008917A9"/>
    <w:rsid w:val="008945FE"/>
    <w:rsid w:val="008A5B62"/>
    <w:rsid w:val="008A7815"/>
    <w:rsid w:val="008B2B76"/>
    <w:rsid w:val="008B373E"/>
    <w:rsid w:val="008B5E5B"/>
    <w:rsid w:val="008C22C0"/>
    <w:rsid w:val="008C502A"/>
    <w:rsid w:val="008C75C3"/>
    <w:rsid w:val="008C7E8D"/>
    <w:rsid w:val="008D7F30"/>
    <w:rsid w:val="008E19B8"/>
    <w:rsid w:val="008E1E45"/>
    <w:rsid w:val="008E1E70"/>
    <w:rsid w:val="008E3A39"/>
    <w:rsid w:val="008F6936"/>
    <w:rsid w:val="009016AF"/>
    <w:rsid w:val="00901771"/>
    <w:rsid w:val="0091402D"/>
    <w:rsid w:val="0091427B"/>
    <w:rsid w:val="00916E84"/>
    <w:rsid w:val="00921CD0"/>
    <w:rsid w:val="0092299A"/>
    <w:rsid w:val="00923E6D"/>
    <w:rsid w:val="009321E6"/>
    <w:rsid w:val="00937080"/>
    <w:rsid w:val="00942943"/>
    <w:rsid w:val="009451A9"/>
    <w:rsid w:val="009474F0"/>
    <w:rsid w:val="00953276"/>
    <w:rsid w:val="00957E7A"/>
    <w:rsid w:val="009605AE"/>
    <w:rsid w:val="00972D8C"/>
    <w:rsid w:val="009767AD"/>
    <w:rsid w:val="00980F4D"/>
    <w:rsid w:val="00981CD1"/>
    <w:rsid w:val="00986635"/>
    <w:rsid w:val="00992B0C"/>
    <w:rsid w:val="0099334B"/>
    <w:rsid w:val="009B176A"/>
    <w:rsid w:val="009B6B30"/>
    <w:rsid w:val="009C296E"/>
    <w:rsid w:val="009C4E89"/>
    <w:rsid w:val="009C6A3A"/>
    <w:rsid w:val="009D1408"/>
    <w:rsid w:val="009D314E"/>
    <w:rsid w:val="009E084D"/>
    <w:rsid w:val="009E2B1B"/>
    <w:rsid w:val="009E4476"/>
    <w:rsid w:val="009F29DB"/>
    <w:rsid w:val="009F4590"/>
    <w:rsid w:val="009F5F56"/>
    <w:rsid w:val="00A0005C"/>
    <w:rsid w:val="00A0107D"/>
    <w:rsid w:val="00A01FCA"/>
    <w:rsid w:val="00A02AE7"/>
    <w:rsid w:val="00A14BB7"/>
    <w:rsid w:val="00A16D72"/>
    <w:rsid w:val="00A300A9"/>
    <w:rsid w:val="00A33C64"/>
    <w:rsid w:val="00A415FC"/>
    <w:rsid w:val="00A41F76"/>
    <w:rsid w:val="00A44311"/>
    <w:rsid w:val="00A44658"/>
    <w:rsid w:val="00A5206E"/>
    <w:rsid w:val="00A66B61"/>
    <w:rsid w:val="00A70320"/>
    <w:rsid w:val="00A746AF"/>
    <w:rsid w:val="00A76F47"/>
    <w:rsid w:val="00A81371"/>
    <w:rsid w:val="00A84FD3"/>
    <w:rsid w:val="00A96CA7"/>
    <w:rsid w:val="00A970EA"/>
    <w:rsid w:val="00AA73DE"/>
    <w:rsid w:val="00AB7DEE"/>
    <w:rsid w:val="00AC1F2E"/>
    <w:rsid w:val="00AC294B"/>
    <w:rsid w:val="00AC29EC"/>
    <w:rsid w:val="00AC6B2C"/>
    <w:rsid w:val="00AC6D36"/>
    <w:rsid w:val="00AD230C"/>
    <w:rsid w:val="00AD743C"/>
    <w:rsid w:val="00AE027A"/>
    <w:rsid w:val="00AE4B83"/>
    <w:rsid w:val="00AE5C9B"/>
    <w:rsid w:val="00AE6B74"/>
    <w:rsid w:val="00AE7E96"/>
    <w:rsid w:val="00AF1748"/>
    <w:rsid w:val="00AF4681"/>
    <w:rsid w:val="00AF46D3"/>
    <w:rsid w:val="00B0456D"/>
    <w:rsid w:val="00B05845"/>
    <w:rsid w:val="00B06A64"/>
    <w:rsid w:val="00B11591"/>
    <w:rsid w:val="00B22832"/>
    <w:rsid w:val="00B27B10"/>
    <w:rsid w:val="00B27FE4"/>
    <w:rsid w:val="00B30419"/>
    <w:rsid w:val="00B31F0B"/>
    <w:rsid w:val="00B41372"/>
    <w:rsid w:val="00B452DE"/>
    <w:rsid w:val="00B476C2"/>
    <w:rsid w:val="00B53A4C"/>
    <w:rsid w:val="00B54F5A"/>
    <w:rsid w:val="00B618F7"/>
    <w:rsid w:val="00B66F5F"/>
    <w:rsid w:val="00B8198D"/>
    <w:rsid w:val="00B83EDF"/>
    <w:rsid w:val="00B97431"/>
    <w:rsid w:val="00B976F4"/>
    <w:rsid w:val="00BA3A16"/>
    <w:rsid w:val="00BA6E41"/>
    <w:rsid w:val="00BB195B"/>
    <w:rsid w:val="00BC03EC"/>
    <w:rsid w:val="00BC4E7A"/>
    <w:rsid w:val="00BE0DCB"/>
    <w:rsid w:val="00BE2014"/>
    <w:rsid w:val="00BE29D9"/>
    <w:rsid w:val="00BE45AC"/>
    <w:rsid w:val="00BF2135"/>
    <w:rsid w:val="00BF23B6"/>
    <w:rsid w:val="00BF4DE4"/>
    <w:rsid w:val="00C078D6"/>
    <w:rsid w:val="00C17FA0"/>
    <w:rsid w:val="00C249EF"/>
    <w:rsid w:val="00C34B9C"/>
    <w:rsid w:val="00C35D7C"/>
    <w:rsid w:val="00C41C8B"/>
    <w:rsid w:val="00C42021"/>
    <w:rsid w:val="00C44C86"/>
    <w:rsid w:val="00C47952"/>
    <w:rsid w:val="00C50A08"/>
    <w:rsid w:val="00C638D3"/>
    <w:rsid w:val="00C63AD2"/>
    <w:rsid w:val="00C76155"/>
    <w:rsid w:val="00C84103"/>
    <w:rsid w:val="00C904DC"/>
    <w:rsid w:val="00C9458D"/>
    <w:rsid w:val="00C971E7"/>
    <w:rsid w:val="00CA18A9"/>
    <w:rsid w:val="00CB12A7"/>
    <w:rsid w:val="00CB179D"/>
    <w:rsid w:val="00CB3D19"/>
    <w:rsid w:val="00CC0CE0"/>
    <w:rsid w:val="00CC4E10"/>
    <w:rsid w:val="00CC5960"/>
    <w:rsid w:val="00CC6A0B"/>
    <w:rsid w:val="00CD4F20"/>
    <w:rsid w:val="00CF57A1"/>
    <w:rsid w:val="00D00830"/>
    <w:rsid w:val="00D12789"/>
    <w:rsid w:val="00D14C02"/>
    <w:rsid w:val="00D268BE"/>
    <w:rsid w:val="00D329D8"/>
    <w:rsid w:val="00D379D2"/>
    <w:rsid w:val="00D415B6"/>
    <w:rsid w:val="00D41F4B"/>
    <w:rsid w:val="00D43004"/>
    <w:rsid w:val="00D4360B"/>
    <w:rsid w:val="00D46BD3"/>
    <w:rsid w:val="00D5261E"/>
    <w:rsid w:val="00D533CD"/>
    <w:rsid w:val="00D53A5D"/>
    <w:rsid w:val="00D53B94"/>
    <w:rsid w:val="00D53FD2"/>
    <w:rsid w:val="00D61625"/>
    <w:rsid w:val="00D62F01"/>
    <w:rsid w:val="00D70C22"/>
    <w:rsid w:val="00D7114B"/>
    <w:rsid w:val="00D77433"/>
    <w:rsid w:val="00D77EB4"/>
    <w:rsid w:val="00D87D42"/>
    <w:rsid w:val="00D935EA"/>
    <w:rsid w:val="00D96F6A"/>
    <w:rsid w:val="00DA0244"/>
    <w:rsid w:val="00DA3C5A"/>
    <w:rsid w:val="00DA467D"/>
    <w:rsid w:val="00DB2A28"/>
    <w:rsid w:val="00DB4A92"/>
    <w:rsid w:val="00DC191E"/>
    <w:rsid w:val="00DC4C47"/>
    <w:rsid w:val="00DC5218"/>
    <w:rsid w:val="00DD62CF"/>
    <w:rsid w:val="00DD7C79"/>
    <w:rsid w:val="00DE4DA4"/>
    <w:rsid w:val="00DE7A07"/>
    <w:rsid w:val="00DF0B83"/>
    <w:rsid w:val="00DF2EB2"/>
    <w:rsid w:val="00DF65DD"/>
    <w:rsid w:val="00DF71B5"/>
    <w:rsid w:val="00E004B3"/>
    <w:rsid w:val="00E02FCD"/>
    <w:rsid w:val="00E108F7"/>
    <w:rsid w:val="00E11AA5"/>
    <w:rsid w:val="00E11DC0"/>
    <w:rsid w:val="00E14D22"/>
    <w:rsid w:val="00E17B42"/>
    <w:rsid w:val="00E31979"/>
    <w:rsid w:val="00E32226"/>
    <w:rsid w:val="00E358CB"/>
    <w:rsid w:val="00E403A6"/>
    <w:rsid w:val="00E46B5E"/>
    <w:rsid w:val="00E46EF0"/>
    <w:rsid w:val="00E5532E"/>
    <w:rsid w:val="00E61FE6"/>
    <w:rsid w:val="00E64282"/>
    <w:rsid w:val="00E67040"/>
    <w:rsid w:val="00E71BFE"/>
    <w:rsid w:val="00E77874"/>
    <w:rsid w:val="00E83F15"/>
    <w:rsid w:val="00E96A32"/>
    <w:rsid w:val="00EA4C80"/>
    <w:rsid w:val="00EB0ACE"/>
    <w:rsid w:val="00EB2707"/>
    <w:rsid w:val="00EB71C6"/>
    <w:rsid w:val="00EC2676"/>
    <w:rsid w:val="00EC7EF1"/>
    <w:rsid w:val="00ED1F6A"/>
    <w:rsid w:val="00ED4864"/>
    <w:rsid w:val="00EE4EA5"/>
    <w:rsid w:val="00EE731C"/>
    <w:rsid w:val="00EF33E6"/>
    <w:rsid w:val="00F076B2"/>
    <w:rsid w:val="00F119F3"/>
    <w:rsid w:val="00F11CAD"/>
    <w:rsid w:val="00F13039"/>
    <w:rsid w:val="00F17BBB"/>
    <w:rsid w:val="00F2030F"/>
    <w:rsid w:val="00F322DE"/>
    <w:rsid w:val="00F346C2"/>
    <w:rsid w:val="00F36A0F"/>
    <w:rsid w:val="00F40E2E"/>
    <w:rsid w:val="00F514CC"/>
    <w:rsid w:val="00F548E6"/>
    <w:rsid w:val="00F573E4"/>
    <w:rsid w:val="00F64245"/>
    <w:rsid w:val="00F67738"/>
    <w:rsid w:val="00F74621"/>
    <w:rsid w:val="00F77B96"/>
    <w:rsid w:val="00F90026"/>
    <w:rsid w:val="00F93B9C"/>
    <w:rsid w:val="00F940EE"/>
    <w:rsid w:val="00F9628C"/>
    <w:rsid w:val="00FB2482"/>
    <w:rsid w:val="00FC0F0B"/>
    <w:rsid w:val="00FC1482"/>
    <w:rsid w:val="00FC3B91"/>
    <w:rsid w:val="00FD63C1"/>
    <w:rsid w:val="00FE2AD2"/>
    <w:rsid w:val="00FE4323"/>
    <w:rsid w:val="00FE67C3"/>
    <w:rsid w:val="00FF4229"/>
    <w:rsid w:val="00FF546F"/>
    <w:rsid w:val="01619DCC"/>
    <w:rsid w:val="01E8AADB"/>
    <w:rsid w:val="020E9380"/>
    <w:rsid w:val="0224A317"/>
    <w:rsid w:val="03224CEE"/>
    <w:rsid w:val="04432B88"/>
    <w:rsid w:val="051D6906"/>
    <w:rsid w:val="05A72A04"/>
    <w:rsid w:val="060DD3A1"/>
    <w:rsid w:val="063F2D92"/>
    <w:rsid w:val="07056923"/>
    <w:rsid w:val="07CB8C4B"/>
    <w:rsid w:val="09255BF2"/>
    <w:rsid w:val="092C9F62"/>
    <w:rsid w:val="0A66D08C"/>
    <w:rsid w:val="0B35080A"/>
    <w:rsid w:val="0BA03AC5"/>
    <w:rsid w:val="0BCAFBCE"/>
    <w:rsid w:val="0BE1FE7D"/>
    <w:rsid w:val="0C3315C9"/>
    <w:rsid w:val="0CCAF1B5"/>
    <w:rsid w:val="0ECFB763"/>
    <w:rsid w:val="0F2CB306"/>
    <w:rsid w:val="0F608160"/>
    <w:rsid w:val="0FA18711"/>
    <w:rsid w:val="0FACD859"/>
    <w:rsid w:val="10147DD9"/>
    <w:rsid w:val="1147BD7F"/>
    <w:rsid w:val="1147DFA0"/>
    <w:rsid w:val="11B07CC1"/>
    <w:rsid w:val="1261BF9F"/>
    <w:rsid w:val="12BDD7F0"/>
    <w:rsid w:val="14212152"/>
    <w:rsid w:val="14384EC6"/>
    <w:rsid w:val="14C85454"/>
    <w:rsid w:val="14F86180"/>
    <w:rsid w:val="152815CC"/>
    <w:rsid w:val="1571C5A0"/>
    <w:rsid w:val="15DA87F3"/>
    <w:rsid w:val="1686570A"/>
    <w:rsid w:val="16C43289"/>
    <w:rsid w:val="17D7C4FB"/>
    <w:rsid w:val="1850AD6D"/>
    <w:rsid w:val="18D8F07C"/>
    <w:rsid w:val="198C0EDF"/>
    <w:rsid w:val="19BD1AB6"/>
    <w:rsid w:val="1C709495"/>
    <w:rsid w:val="1C79323C"/>
    <w:rsid w:val="1D107812"/>
    <w:rsid w:val="1DC4931B"/>
    <w:rsid w:val="1E36D8AE"/>
    <w:rsid w:val="1EBE5589"/>
    <w:rsid w:val="1F554F18"/>
    <w:rsid w:val="1F722747"/>
    <w:rsid w:val="1FACBA4D"/>
    <w:rsid w:val="1FE3FE9D"/>
    <w:rsid w:val="20466667"/>
    <w:rsid w:val="20FD0FEA"/>
    <w:rsid w:val="21286734"/>
    <w:rsid w:val="21D48B1A"/>
    <w:rsid w:val="233E7BA8"/>
    <w:rsid w:val="2369FA02"/>
    <w:rsid w:val="23C6EEC2"/>
    <w:rsid w:val="24F92C6D"/>
    <w:rsid w:val="25CD829E"/>
    <w:rsid w:val="26E9732E"/>
    <w:rsid w:val="2750EE23"/>
    <w:rsid w:val="27AE298B"/>
    <w:rsid w:val="28497C0F"/>
    <w:rsid w:val="2889C338"/>
    <w:rsid w:val="29CC202B"/>
    <w:rsid w:val="2A5FD070"/>
    <w:rsid w:val="2A9AF450"/>
    <w:rsid w:val="2AC531EA"/>
    <w:rsid w:val="2C2BD022"/>
    <w:rsid w:val="2D278A31"/>
    <w:rsid w:val="2D408817"/>
    <w:rsid w:val="2D43DDC4"/>
    <w:rsid w:val="2DE2216A"/>
    <w:rsid w:val="2E991608"/>
    <w:rsid w:val="2EE09782"/>
    <w:rsid w:val="2F38B5AE"/>
    <w:rsid w:val="2F766112"/>
    <w:rsid w:val="2F7AE5CC"/>
    <w:rsid w:val="2FCBE0EF"/>
    <w:rsid w:val="30818DD7"/>
    <w:rsid w:val="30F6B6BB"/>
    <w:rsid w:val="317172B9"/>
    <w:rsid w:val="31E72EDA"/>
    <w:rsid w:val="329112CE"/>
    <w:rsid w:val="329551CE"/>
    <w:rsid w:val="32E79FCC"/>
    <w:rsid w:val="334B0503"/>
    <w:rsid w:val="3358DA0F"/>
    <w:rsid w:val="3387125F"/>
    <w:rsid w:val="34FB2CB6"/>
    <w:rsid w:val="35ABA829"/>
    <w:rsid w:val="36E64031"/>
    <w:rsid w:val="37DD5711"/>
    <w:rsid w:val="3818AA6E"/>
    <w:rsid w:val="3864EB5A"/>
    <w:rsid w:val="396871BA"/>
    <w:rsid w:val="397C2062"/>
    <w:rsid w:val="3A51E4EC"/>
    <w:rsid w:val="3A90F765"/>
    <w:rsid w:val="3AE4278C"/>
    <w:rsid w:val="3B4F7FC5"/>
    <w:rsid w:val="3BBFE8F4"/>
    <w:rsid w:val="3E3F8781"/>
    <w:rsid w:val="3E52B141"/>
    <w:rsid w:val="3ED01CF2"/>
    <w:rsid w:val="4064FF5D"/>
    <w:rsid w:val="406FC825"/>
    <w:rsid w:val="40B2E5E3"/>
    <w:rsid w:val="40DBAE17"/>
    <w:rsid w:val="41AD64EF"/>
    <w:rsid w:val="429E5137"/>
    <w:rsid w:val="42CB0209"/>
    <w:rsid w:val="42FB6B2D"/>
    <w:rsid w:val="436EC733"/>
    <w:rsid w:val="43B2A4CB"/>
    <w:rsid w:val="441840E3"/>
    <w:rsid w:val="444CB895"/>
    <w:rsid w:val="44A0104E"/>
    <w:rsid w:val="44B80F69"/>
    <w:rsid w:val="44D8A649"/>
    <w:rsid w:val="45189FDF"/>
    <w:rsid w:val="45D807A5"/>
    <w:rsid w:val="45DD373D"/>
    <w:rsid w:val="45E4E57C"/>
    <w:rsid w:val="4683BCB7"/>
    <w:rsid w:val="483F81BE"/>
    <w:rsid w:val="48BFC1C8"/>
    <w:rsid w:val="48CD4871"/>
    <w:rsid w:val="49D12B3A"/>
    <w:rsid w:val="4AB16C5D"/>
    <w:rsid w:val="4AE3ABAC"/>
    <w:rsid w:val="4BC1859F"/>
    <w:rsid w:val="4BD89B7C"/>
    <w:rsid w:val="4C50F2A9"/>
    <w:rsid w:val="4CFF6FD1"/>
    <w:rsid w:val="4D18AADC"/>
    <w:rsid w:val="4D4BAEE8"/>
    <w:rsid w:val="4E2A2CC2"/>
    <w:rsid w:val="4E404C29"/>
    <w:rsid w:val="4E4659C8"/>
    <w:rsid w:val="4F381FE6"/>
    <w:rsid w:val="4F6E941C"/>
    <w:rsid w:val="503892BE"/>
    <w:rsid w:val="510B3D0D"/>
    <w:rsid w:val="5190EA5F"/>
    <w:rsid w:val="520F1790"/>
    <w:rsid w:val="533698D7"/>
    <w:rsid w:val="53CD6C1C"/>
    <w:rsid w:val="54830711"/>
    <w:rsid w:val="555E80E6"/>
    <w:rsid w:val="5567BA88"/>
    <w:rsid w:val="5613C559"/>
    <w:rsid w:val="565E5D05"/>
    <w:rsid w:val="576F77B1"/>
    <w:rsid w:val="577CD1EF"/>
    <w:rsid w:val="57B3200E"/>
    <w:rsid w:val="57CBF4C8"/>
    <w:rsid w:val="593C4F9A"/>
    <w:rsid w:val="5963C1BA"/>
    <w:rsid w:val="5966DDAF"/>
    <w:rsid w:val="598683EA"/>
    <w:rsid w:val="59D896AE"/>
    <w:rsid w:val="5A889279"/>
    <w:rsid w:val="5AED6EBF"/>
    <w:rsid w:val="5B24C708"/>
    <w:rsid w:val="5CDEDD66"/>
    <w:rsid w:val="5E309C34"/>
    <w:rsid w:val="5E34AABC"/>
    <w:rsid w:val="5EB6A757"/>
    <w:rsid w:val="619458DF"/>
    <w:rsid w:val="61B0CF89"/>
    <w:rsid w:val="61BB475F"/>
    <w:rsid w:val="61FBE053"/>
    <w:rsid w:val="6216ADE4"/>
    <w:rsid w:val="6268F6C4"/>
    <w:rsid w:val="641F8CC4"/>
    <w:rsid w:val="64779D41"/>
    <w:rsid w:val="64E5CAF1"/>
    <w:rsid w:val="656E6455"/>
    <w:rsid w:val="65A73FE2"/>
    <w:rsid w:val="660DB7C1"/>
    <w:rsid w:val="66187C85"/>
    <w:rsid w:val="6637336D"/>
    <w:rsid w:val="66904720"/>
    <w:rsid w:val="66F5F39F"/>
    <w:rsid w:val="68158BAC"/>
    <w:rsid w:val="68ACBA94"/>
    <w:rsid w:val="68FCCEC4"/>
    <w:rsid w:val="693053EF"/>
    <w:rsid w:val="69CED89B"/>
    <w:rsid w:val="6A7B1980"/>
    <w:rsid w:val="6A932994"/>
    <w:rsid w:val="6AADC012"/>
    <w:rsid w:val="6BC16E28"/>
    <w:rsid w:val="6BEAF412"/>
    <w:rsid w:val="6C5969F3"/>
    <w:rsid w:val="6C95EB1E"/>
    <w:rsid w:val="6CAEAE00"/>
    <w:rsid w:val="6CBAEB1A"/>
    <w:rsid w:val="6EAC5DED"/>
    <w:rsid w:val="6EBE5A0F"/>
    <w:rsid w:val="6F4C01C9"/>
    <w:rsid w:val="6F7DAF58"/>
    <w:rsid w:val="6FBA7E71"/>
    <w:rsid w:val="7007EC70"/>
    <w:rsid w:val="70CF70C7"/>
    <w:rsid w:val="71358B94"/>
    <w:rsid w:val="7280EA45"/>
    <w:rsid w:val="73B2F9DB"/>
    <w:rsid w:val="73BB4F33"/>
    <w:rsid w:val="74840780"/>
    <w:rsid w:val="75179400"/>
    <w:rsid w:val="7569E1B6"/>
    <w:rsid w:val="7698338F"/>
    <w:rsid w:val="783EED3E"/>
    <w:rsid w:val="78A54F34"/>
    <w:rsid w:val="78C000CE"/>
    <w:rsid w:val="7A29303D"/>
    <w:rsid w:val="7A991E4D"/>
    <w:rsid w:val="7AB31E93"/>
    <w:rsid w:val="7B3DC664"/>
    <w:rsid w:val="7C61CDA1"/>
    <w:rsid w:val="7CEE732D"/>
    <w:rsid w:val="7D54A2E2"/>
    <w:rsid w:val="7DA26E5F"/>
    <w:rsid w:val="7ECA11C2"/>
    <w:rsid w:val="7F452520"/>
    <w:rsid w:val="7FC07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9275"/>
  <w15:docId w15:val="{0CA6D66F-DD83-4A7A-AF10-A1A0E3B0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831"/>
    <w:pPr>
      <w:spacing w:after="120"/>
    </w:pPr>
    <w:rPr>
      <w:rFonts w:asciiTheme="minorHAnsi" w:hAnsiTheme="minorHAnsi"/>
      <w:szCs w:val="21"/>
    </w:rPr>
  </w:style>
  <w:style w:type="paragraph" w:styleId="Heading1">
    <w:name w:val="heading 1"/>
    <w:basedOn w:val="Normal"/>
    <w:next w:val="Normal"/>
    <w:uiPriority w:val="9"/>
    <w:qFormat/>
    <w:rsid w:val="0065304A"/>
    <w:pPr>
      <w:keepNext/>
      <w:keepLines/>
      <w:spacing w:before="480"/>
      <w:outlineLvl w:val="0"/>
    </w:pPr>
    <w:rPr>
      <w:rFonts w:cs="Arial"/>
      <w:b/>
      <w:bCs/>
      <w:color w:val="5F295C"/>
      <w:sz w:val="28"/>
      <w:szCs w:val="28"/>
    </w:rPr>
  </w:style>
  <w:style w:type="paragraph" w:styleId="Heading2">
    <w:name w:val="heading 2"/>
    <w:basedOn w:val="Normal"/>
    <w:next w:val="Normal"/>
    <w:uiPriority w:val="9"/>
    <w:unhideWhenUsed/>
    <w:qFormat/>
    <w:rsid w:val="00065C07"/>
    <w:pPr>
      <w:spacing w:before="120" w:after="40" w:line="240" w:lineRule="auto"/>
      <w:outlineLvl w:val="1"/>
    </w:pPr>
    <w:rPr>
      <w:rFonts w:cstheme="minorHAnsi"/>
      <w:b/>
      <w:bCs/>
      <w:color w:val="E6685C"/>
      <w:sz w:val="28"/>
      <w:szCs w:val="28"/>
    </w:rPr>
  </w:style>
  <w:style w:type="paragraph" w:styleId="Heading3">
    <w:name w:val="heading 3"/>
    <w:basedOn w:val="Normal"/>
    <w:next w:val="Normal"/>
    <w:uiPriority w:val="9"/>
    <w:unhideWhenUsed/>
    <w:qFormat/>
    <w:rsid w:val="00226054"/>
    <w:pPr>
      <w:spacing w:after="40" w:line="240" w:lineRule="auto"/>
      <w:outlineLvl w:val="2"/>
    </w:pPr>
    <w:rPr>
      <w:color w:val="E6685C"/>
      <w:sz w:val="24"/>
      <w:szCs w:val="24"/>
    </w:rPr>
  </w:style>
  <w:style w:type="paragraph" w:styleId="Heading4">
    <w:name w:val="heading 4"/>
    <w:basedOn w:val="Normal"/>
    <w:next w:val="Normal"/>
    <w:uiPriority w:val="9"/>
    <w:unhideWhenUsed/>
    <w:qFormat/>
    <w:rsid w:val="00F322DE"/>
    <w:pPr>
      <w:outlineLvl w:val="3"/>
    </w:pPr>
    <w:rPr>
      <w:color w:val="90688C"/>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226054"/>
  </w:style>
  <w:style w:type="paragraph" w:styleId="Header">
    <w:name w:val="header"/>
    <w:basedOn w:val="Normal"/>
    <w:link w:val="HeaderChar"/>
    <w:uiPriority w:val="99"/>
    <w:unhideWhenUsed/>
    <w:rsid w:val="002F0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719"/>
  </w:style>
  <w:style w:type="paragraph" w:styleId="Footer">
    <w:name w:val="footer"/>
    <w:basedOn w:val="Normal"/>
    <w:link w:val="FooterChar"/>
    <w:uiPriority w:val="99"/>
    <w:unhideWhenUsed/>
    <w:rsid w:val="002F0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719"/>
  </w:style>
  <w:style w:type="paragraph" w:styleId="ListParagraph">
    <w:name w:val="List Paragraph"/>
    <w:basedOn w:val="Normal"/>
    <w:uiPriority w:val="34"/>
    <w:qFormat/>
    <w:rsid w:val="00454B1A"/>
    <w:pPr>
      <w:numPr>
        <w:numId w:val="14"/>
      </w:numPr>
    </w:pPr>
    <w:rPr>
      <w:rFonts w:cs="Arial"/>
    </w:rPr>
  </w:style>
  <w:style w:type="character" w:styleId="Hyperlink">
    <w:name w:val="Hyperlink"/>
    <w:basedOn w:val="DefaultParagraphFont"/>
    <w:uiPriority w:val="99"/>
    <w:unhideWhenUsed/>
    <w:rsid w:val="00B22990"/>
    <w:rPr>
      <w:color w:val="0563C1" w:themeColor="hyperlink"/>
      <w:u w:val="single"/>
    </w:rPr>
  </w:style>
  <w:style w:type="paragraph" w:styleId="BalloonText">
    <w:name w:val="Balloon Text"/>
    <w:basedOn w:val="Normal"/>
    <w:link w:val="BalloonTextChar"/>
    <w:uiPriority w:val="99"/>
    <w:semiHidden/>
    <w:unhideWhenUsed/>
    <w:rsid w:val="0060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9D2"/>
    <w:rPr>
      <w:rFonts w:ascii="Segoe UI" w:hAnsi="Segoe UI" w:cs="Segoe UI"/>
      <w:sz w:val="18"/>
      <w:szCs w:val="18"/>
    </w:rPr>
  </w:style>
  <w:style w:type="character" w:styleId="CommentReference">
    <w:name w:val="annotation reference"/>
    <w:basedOn w:val="DefaultParagraphFont"/>
    <w:uiPriority w:val="99"/>
    <w:semiHidden/>
    <w:unhideWhenUsed/>
    <w:rsid w:val="00216576"/>
    <w:rPr>
      <w:sz w:val="16"/>
      <w:szCs w:val="16"/>
    </w:rPr>
  </w:style>
  <w:style w:type="paragraph" w:styleId="CommentText">
    <w:name w:val="annotation text"/>
    <w:basedOn w:val="Normal"/>
    <w:link w:val="CommentTextChar"/>
    <w:uiPriority w:val="99"/>
    <w:unhideWhenUsed/>
    <w:rsid w:val="00216576"/>
    <w:pPr>
      <w:spacing w:line="240" w:lineRule="auto"/>
    </w:pPr>
    <w:rPr>
      <w:sz w:val="20"/>
      <w:szCs w:val="20"/>
    </w:rPr>
  </w:style>
  <w:style w:type="character" w:customStyle="1" w:styleId="CommentTextChar">
    <w:name w:val="Comment Text Char"/>
    <w:basedOn w:val="DefaultParagraphFont"/>
    <w:link w:val="CommentText"/>
    <w:uiPriority w:val="99"/>
    <w:rsid w:val="00216576"/>
    <w:rPr>
      <w:sz w:val="20"/>
      <w:szCs w:val="20"/>
    </w:rPr>
  </w:style>
  <w:style w:type="paragraph" w:styleId="CommentSubject">
    <w:name w:val="annotation subject"/>
    <w:basedOn w:val="CommentText"/>
    <w:next w:val="CommentText"/>
    <w:link w:val="CommentSubjectChar"/>
    <w:uiPriority w:val="99"/>
    <w:semiHidden/>
    <w:unhideWhenUsed/>
    <w:rsid w:val="00216576"/>
    <w:rPr>
      <w:b/>
      <w:bCs/>
    </w:rPr>
  </w:style>
  <w:style w:type="character" w:customStyle="1" w:styleId="CommentSubjectChar">
    <w:name w:val="Comment Subject Char"/>
    <w:basedOn w:val="CommentTextChar"/>
    <w:link w:val="CommentSubject"/>
    <w:uiPriority w:val="99"/>
    <w:semiHidden/>
    <w:rsid w:val="00216576"/>
    <w:rPr>
      <w:b/>
      <w:bCs/>
      <w:sz w:val="20"/>
      <w:szCs w:val="20"/>
    </w:rPr>
  </w:style>
  <w:style w:type="paragraph" w:styleId="NormalWeb">
    <w:name w:val="Normal (Web)"/>
    <w:basedOn w:val="Normal"/>
    <w:uiPriority w:val="99"/>
    <w:semiHidden/>
    <w:unhideWhenUsed/>
    <w:rsid w:val="00A2561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02805"/>
    <w:rPr>
      <w:color w:val="605E5C"/>
      <w:shd w:val="clear" w:color="auto" w:fill="E1DFDD"/>
    </w:rPr>
  </w:style>
  <w:style w:type="character" w:styleId="FollowedHyperlink">
    <w:name w:val="FollowedHyperlink"/>
    <w:basedOn w:val="DefaultParagraphFont"/>
    <w:uiPriority w:val="99"/>
    <w:semiHidden/>
    <w:unhideWhenUsed/>
    <w:rsid w:val="00801764"/>
    <w:rPr>
      <w:color w:val="954F72" w:themeColor="followedHyperlink"/>
      <w:u w:val="single"/>
    </w:rPr>
  </w:style>
  <w:style w:type="paragraph" w:styleId="FootnoteText">
    <w:name w:val="footnote text"/>
    <w:basedOn w:val="Normal"/>
    <w:link w:val="FootnoteTextChar"/>
    <w:uiPriority w:val="99"/>
    <w:semiHidden/>
    <w:unhideWhenUsed/>
    <w:rsid w:val="00EC3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35B"/>
    <w:rPr>
      <w:sz w:val="20"/>
      <w:szCs w:val="20"/>
    </w:rPr>
  </w:style>
  <w:style w:type="character" w:styleId="FootnoteReference">
    <w:name w:val="footnote reference"/>
    <w:basedOn w:val="DefaultParagraphFont"/>
    <w:uiPriority w:val="99"/>
    <w:semiHidden/>
    <w:unhideWhenUsed/>
    <w:rsid w:val="00EC335B"/>
    <w:rPr>
      <w:vertAlign w:val="superscript"/>
    </w:rPr>
  </w:style>
  <w:style w:type="paragraph" w:styleId="EndnoteText">
    <w:name w:val="endnote text"/>
    <w:basedOn w:val="Normal"/>
    <w:link w:val="EndnoteTextChar"/>
    <w:uiPriority w:val="99"/>
    <w:semiHidden/>
    <w:unhideWhenUsed/>
    <w:rsid w:val="004A6E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6E14"/>
    <w:rPr>
      <w:sz w:val="20"/>
      <w:szCs w:val="20"/>
    </w:rPr>
  </w:style>
  <w:style w:type="character" w:styleId="EndnoteReference">
    <w:name w:val="endnote reference"/>
    <w:basedOn w:val="DefaultParagraphFont"/>
    <w:uiPriority w:val="99"/>
    <w:semiHidden/>
    <w:unhideWhenUsed/>
    <w:rsid w:val="004A6E1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C7EF1"/>
    <w:pPr>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226054"/>
  </w:style>
  <w:style w:type="character" w:styleId="Strong">
    <w:name w:val="Strong"/>
    <w:basedOn w:val="DefaultParagraphFont"/>
    <w:uiPriority w:val="22"/>
    <w:qFormat/>
    <w:rsid w:val="00226054"/>
    <w:rPr>
      <w:b/>
      <w:bCs/>
    </w:rPr>
  </w:style>
  <w:style w:type="paragraph" w:styleId="NoSpacing">
    <w:name w:val="No Spacing"/>
    <w:basedOn w:val="Normal"/>
    <w:uiPriority w:val="1"/>
    <w:qFormat/>
    <w:rsid w:val="00764803"/>
    <w:pPr>
      <w:spacing w:after="0"/>
    </w:pPr>
  </w:style>
  <w:style w:type="paragraph" w:styleId="TOCHeading">
    <w:name w:val="TOC Heading"/>
    <w:basedOn w:val="Heading1"/>
    <w:next w:val="Normal"/>
    <w:uiPriority w:val="39"/>
    <w:unhideWhenUsed/>
    <w:qFormat/>
    <w:rsid w:val="00F322DE"/>
    <w:pPr>
      <w:spacing w:after="0" w:line="276"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F322DE"/>
    <w:pPr>
      <w:spacing w:before="120" w:after="0"/>
    </w:pPr>
    <w:rPr>
      <w:rFonts w:cstheme="minorHAnsi"/>
      <w:bCs/>
      <w:iCs/>
      <w:szCs w:val="24"/>
    </w:rPr>
  </w:style>
  <w:style w:type="paragraph" w:styleId="TOC2">
    <w:name w:val="toc 2"/>
    <w:basedOn w:val="Normal"/>
    <w:next w:val="Normal"/>
    <w:autoRedefine/>
    <w:uiPriority w:val="39"/>
    <w:unhideWhenUsed/>
    <w:rsid w:val="00F322DE"/>
    <w:pPr>
      <w:spacing w:before="120" w:after="0"/>
      <w:ind w:left="210"/>
    </w:pPr>
    <w:rPr>
      <w:rFonts w:cstheme="minorHAnsi"/>
      <w:b/>
      <w:bCs/>
      <w:szCs w:val="22"/>
    </w:rPr>
  </w:style>
  <w:style w:type="paragraph" w:styleId="TOC3">
    <w:name w:val="toc 3"/>
    <w:basedOn w:val="Normal"/>
    <w:next w:val="Normal"/>
    <w:autoRedefine/>
    <w:uiPriority w:val="39"/>
    <w:unhideWhenUsed/>
    <w:rsid w:val="00F322DE"/>
    <w:pPr>
      <w:spacing w:after="0"/>
      <w:ind w:left="420"/>
    </w:pPr>
    <w:rPr>
      <w:rFonts w:cstheme="minorHAnsi"/>
      <w:sz w:val="20"/>
      <w:szCs w:val="20"/>
    </w:rPr>
  </w:style>
  <w:style w:type="paragraph" w:styleId="TOC4">
    <w:name w:val="toc 4"/>
    <w:basedOn w:val="Normal"/>
    <w:next w:val="Normal"/>
    <w:autoRedefine/>
    <w:uiPriority w:val="39"/>
    <w:semiHidden/>
    <w:unhideWhenUsed/>
    <w:rsid w:val="00F322DE"/>
    <w:pPr>
      <w:spacing w:after="0"/>
      <w:ind w:left="630"/>
    </w:pPr>
    <w:rPr>
      <w:rFonts w:cstheme="minorHAnsi"/>
      <w:sz w:val="20"/>
      <w:szCs w:val="20"/>
    </w:rPr>
  </w:style>
  <w:style w:type="paragraph" w:styleId="TOC5">
    <w:name w:val="toc 5"/>
    <w:basedOn w:val="Normal"/>
    <w:next w:val="Normal"/>
    <w:autoRedefine/>
    <w:uiPriority w:val="39"/>
    <w:semiHidden/>
    <w:unhideWhenUsed/>
    <w:rsid w:val="00F322DE"/>
    <w:pPr>
      <w:spacing w:after="0"/>
      <w:ind w:left="840"/>
    </w:pPr>
    <w:rPr>
      <w:rFonts w:cstheme="minorHAnsi"/>
      <w:sz w:val="20"/>
      <w:szCs w:val="20"/>
    </w:rPr>
  </w:style>
  <w:style w:type="paragraph" w:styleId="TOC6">
    <w:name w:val="toc 6"/>
    <w:basedOn w:val="Normal"/>
    <w:next w:val="Normal"/>
    <w:autoRedefine/>
    <w:uiPriority w:val="39"/>
    <w:semiHidden/>
    <w:unhideWhenUsed/>
    <w:rsid w:val="00F322DE"/>
    <w:pPr>
      <w:spacing w:after="0"/>
      <w:ind w:left="1050"/>
    </w:pPr>
    <w:rPr>
      <w:rFonts w:cstheme="minorHAnsi"/>
      <w:sz w:val="20"/>
      <w:szCs w:val="20"/>
    </w:rPr>
  </w:style>
  <w:style w:type="paragraph" w:styleId="TOC7">
    <w:name w:val="toc 7"/>
    <w:basedOn w:val="Normal"/>
    <w:next w:val="Normal"/>
    <w:autoRedefine/>
    <w:uiPriority w:val="39"/>
    <w:semiHidden/>
    <w:unhideWhenUsed/>
    <w:rsid w:val="00F322DE"/>
    <w:pPr>
      <w:spacing w:after="0"/>
      <w:ind w:left="1260"/>
    </w:pPr>
    <w:rPr>
      <w:rFonts w:cstheme="minorHAnsi"/>
      <w:sz w:val="20"/>
      <w:szCs w:val="20"/>
    </w:rPr>
  </w:style>
  <w:style w:type="paragraph" w:styleId="TOC8">
    <w:name w:val="toc 8"/>
    <w:basedOn w:val="Normal"/>
    <w:next w:val="Normal"/>
    <w:autoRedefine/>
    <w:uiPriority w:val="39"/>
    <w:semiHidden/>
    <w:unhideWhenUsed/>
    <w:rsid w:val="00F322DE"/>
    <w:pPr>
      <w:spacing w:after="0"/>
      <w:ind w:left="1470"/>
    </w:pPr>
    <w:rPr>
      <w:rFonts w:cstheme="minorHAnsi"/>
      <w:sz w:val="20"/>
      <w:szCs w:val="20"/>
    </w:rPr>
  </w:style>
  <w:style w:type="paragraph" w:styleId="TOC9">
    <w:name w:val="toc 9"/>
    <w:basedOn w:val="Normal"/>
    <w:next w:val="Normal"/>
    <w:autoRedefine/>
    <w:uiPriority w:val="39"/>
    <w:semiHidden/>
    <w:unhideWhenUsed/>
    <w:rsid w:val="00F322DE"/>
    <w:pPr>
      <w:spacing w:after="0"/>
      <w:ind w:left="1680"/>
    </w:pPr>
    <w:rPr>
      <w:rFonts w:cstheme="minorHAnsi"/>
      <w:sz w:val="20"/>
      <w:szCs w:val="20"/>
    </w:rPr>
  </w:style>
  <w:style w:type="character" w:customStyle="1" w:styleId="eop">
    <w:name w:val="eop"/>
    <w:basedOn w:val="DefaultParagraphFont"/>
    <w:rsid w:val="005F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rban.org/research/publication/state-level-estimates-health-care-spending-and-uncompensated-care-changes" TargetMode="Externa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tyles" Target="styles.xml"/><Relationship Id="rId12" Type="http://schemas.openxmlformats.org/officeDocument/2006/relationships/hyperlink" Target="https://shvs.org/resource/changes-to-the-marketplaces-implementing-new-regulatory-and-legislative-requirements/" TargetMode="External"/><Relationship Id="rId17" Type="http://schemas.openxmlformats.org/officeDocument/2006/relationships/image" Target="media/image2.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ocialpresskit.com/shv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vs.org/optimizing-sms-strategies-for-outreach-to-medicaid-and-marketplace-enrollees/" TargetMode="External"/><Relationship Id="rId22" Type="http://schemas.openxmlformats.org/officeDocument/2006/relationships/image" Target="media/image7.jpeg"/><Relationship Id="rId27" Type="http://schemas.openxmlformats.org/officeDocument/2006/relationships/fontTable" Target="fontTable.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documenttasks/documenttasks1.xml><?xml version="1.0" encoding="utf-8"?>
<t:Tasks xmlns:t="http://schemas.microsoft.com/office/tasks/2019/documenttasks" xmlns:oel="http://schemas.microsoft.com/office/2019/extlst">
  <t:Task id="{792D3165-27B2-4669-A896-EA836ACE5137}">
    <t:Anchor>
      <t:Comment id="2038103259"/>
    </t:Anchor>
    <t:History>
      <t:Event id="{AEE5CC75-3783-49E6-8EBC-2E60EFD1E007}" time="2024-12-10T02:16:11.232Z">
        <t:Attribution userId="S::smabon@princeton.edu::3894bf69-2575-439a-9077-05e4d80ba7ea" userProvider="AD" userName="Sally Mabon"/>
        <t:Anchor>
          <t:Comment id="1856134176"/>
        </t:Anchor>
        <t:Create/>
      </t:Event>
      <t:Event id="{6BB943CA-B81D-44A8-9FAA-DB7FF3876AF1}" time="2024-12-10T02:16:11.232Z">
        <t:Attribution userId="S::smabon@princeton.edu::3894bf69-2575-439a-9077-05e4d80ba7ea" userProvider="AD" userName="Sally Mabon"/>
        <t:Anchor>
          <t:Comment id="1856134176"/>
        </t:Anchor>
        <t:Assign userId="S::lb9434@princeton.edu::42660296-2eb7-40c3-b77d-8d8e16a7e48e" userProvider="AD" userName="Laura Buddenbaum"/>
      </t:Event>
      <t:Event id="{2CDBC671-53F5-4E08-ACDB-CEB7FB1966D7}" time="2024-12-10T02:16:11.232Z">
        <t:Attribution userId="S::smabon@princeton.edu::3894bf69-2575-439a-9077-05e4d80ba7ea" userProvider="AD" userName="Sally Mabon"/>
        <t:Anchor>
          <t:Comment id="1856134176"/>
        </t:Anchor>
        <t:SetTitle title="@Laura Buddenbaum feel free to tweak, and not sure how we want to refer to that document."/>
      </t:Event>
    </t:History>
  </t:Task>
  <t:Task id="{95E62248-C6D3-4BDE-9C32-EFA2CE7AA30A}">
    <t:Anchor>
      <t:Comment id="1622366820"/>
    </t:Anchor>
    <t:History>
      <t:Event id="{2991D685-3A91-44AE-8818-DF1409DF2E5E}" time="2025-01-14T20:52:59.483Z">
        <t:Attribution userId="S::smabon@princeton.edu::3894bf69-2575-439a-9077-05e4d80ba7ea" userProvider="AD" userName="Sally Mabon"/>
        <t:Anchor>
          <t:Comment id="1622366820"/>
        </t:Anchor>
        <t:Create/>
      </t:Event>
      <t:Event id="{DFDAC88C-0B37-4DD4-BD2B-725C4AF50CB0}" time="2025-01-14T20:52:59.483Z">
        <t:Attribution userId="S::smabon@princeton.edu::3894bf69-2575-439a-9077-05e4d80ba7ea" userProvider="AD" userName="Sally Mabon"/>
        <t:Anchor>
          <t:Comment id="1622366820"/>
        </t:Anchor>
        <t:Assign userId="S::lb9434@princeton.edu::42660296-2eb7-40c3-b77d-8d8e16a7e48e" userProvider="AD" userName="Laura Buddenbaum"/>
      </t:Event>
      <t:Event id="{0E17C5C4-CCCC-49A2-802E-AB2FD6B609BB}" time="2025-01-14T20:52:59.483Z">
        <t:Attribution userId="S::smabon@princeton.edu::3894bf69-2575-439a-9077-05e4d80ba7ea" userProvider="AD" userName="Sally Mabon"/>
        <t:Anchor>
          <t:Comment id="1622366820"/>
        </t:Anchor>
        <t:SetTitle title="@Laura Buddenbaum anything to add here about the html code thing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36BAEBF66F0542958329FEE2E166AD" ma:contentTypeVersion="13" ma:contentTypeDescription="Create a new document." ma:contentTypeScope="" ma:versionID="18e2ccdfde7711a9c2ed805bace176fe">
  <xsd:schema xmlns:xsd="http://www.w3.org/2001/XMLSchema" xmlns:xs="http://www.w3.org/2001/XMLSchema" xmlns:p="http://schemas.microsoft.com/office/2006/metadata/properties" xmlns:ns2="d9cc5569-9129-49f1-8f28-70656e19c16b" xmlns:ns3="c04fa7eb-b960-423e-b561-a2429948e4ef" targetNamespace="http://schemas.microsoft.com/office/2006/metadata/properties" ma:root="true" ma:fieldsID="df55a31a45ea9f160c829459cc78f02e" ns2:_="" ns3:_="">
    <xsd:import namespace="d9cc5569-9129-49f1-8f28-70656e19c16b"/>
    <xsd:import namespace="c04fa7eb-b960-423e-b561-a2429948e4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c5569-9129-49f1-8f28-70656e19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fcf722-70c8-4cf4-91c0-eb756598de4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fa7eb-b960-423e-b561-a2429948e4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53ff0f-89de-4c8f-9040-9222dcc30c2f}" ma:internalName="TaxCatchAll" ma:showField="CatchAllData" ma:web="c04fa7eb-b960-423e-b561-a2429948e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BHuB1IBO4keTQStBkll80Tov9w==">AMUW2mWVg5qIc8dfwoiCv6U6P68LA5xU5/sMrq91U+GeVHZOvLR7Jhd9z5B0AuqKCUYVGid0amrokW1jf6cvlZtA/48eyAIamw3J6CoF2hP2NiJ1FDQ+tKCAp2+msupAnZZSXrfVUBcW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c04fa7eb-b960-423e-b561-a2429948e4ef" xsi:nil="true"/>
    <lcf76f155ced4ddcb4097134ff3c332f xmlns="d9cc5569-9129-49f1-8f28-70656e19c16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B2F65-6814-428C-91A4-05F724247113}">
  <ds:schemaRefs>
    <ds:schemaRef ds:uri="http://schemas.microsoft.com/sharepoint/v3/contenttype/forms"/>
  </ds:schemaRefs>
</ds:datastoreItem>
</file>

<file path=customXml/itemProps2.xml><?xml version="1.0" encoding="utf-8"?>
<ds:datastoreItem xmlns:ds="http://schemas.openxmlformats.org/officeDocument/2006/customXml" ds:itemID="{5842A467-E243-42E8-9DA5-52881AFAF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c5569-9129-49f1-8f28-70656e19c16b"/>
    <ds:schemaRef ds:uri="c04fa7eb-b960-423e-b561-a2429948e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1DDE322-D83D-4286-9552-C76C65E3C83C}">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d9cc5569-9129-49f1-8f28-70656e19c16b"/>
    <ds:schemaRef ds:uri="http://purl.org/dc/elements/1.1/"/>
    <ds:schemaRef ds:uri="c04fa7eb-b960-423e-b561-a2429948e4ef"/>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4E5B3991-A1EB-41E8-886A-647C5E42A4BD}">
  <ds:schemaRefs>
    <ds:schemaRef ds:uri="http://schemas.openxmlformats.org/officeDocument/2006/bibliography"/>
  </ds:schemaRefs>
</ds:datastoreItem>
</file>

<file path=docMetadata/LabelInfo.xml><?xml version="1.0" encoding="utf-8"?>
<clbl:labelList xmlns:clbl="http://schemas.microsoft.com/office/2020/mipLabelMetadata">
  <clbl:label id="{2ff60116-7431-425d-b5af-077d7791bda4}" enabled="0" method="" siteId="{2ff60116-7431-425d-b5af-077d7791bda4}"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3788</Words>
  <Characters>21596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Robbio</dc:creator>
  <cp:keywords/>
  <cp:lastModifiedBy>Laura Buddenbaum</cp:lastModifiedBy>
  <cp:revision>2</cp:revision>
  <cp:lastPrinted>2025-08-15T03:22:00Z</cp:lastPrinted>
  <dcterms:created xsi:type="dcterms:W3CDTF">2025-09-02T16:02:00Z</dcterms:created>
  <dcterms:modified xsi:type="dcterms:W3CDTF">2025-09-02T16:02:00Z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a844c618-538c-404a-b2f6-f58b5e4f4fae_Enabled">
    <vt:lpwstr>true</vt:lpwstr>
  </property>
  <property fmtid="{D5CDD505-2E9C-101B-9397-08002B2CF9AE}" pid="4" name="MSIP_Label_a844c618-538c-404a-b2f6-f58b5e4f4fae_SetDate">
    <vt:lpwstr>2025-08-07T14:26:02Z</vt:lpwstr>
  </property>
  <property fmtid="{D5CDD505-2E9C-101B-9397-08002B2CF9AE}" pid="5" name="MSIP_Label_a844c618-538c-404a-b2f6-f58b5e4f4fae_Method">
    <vt:lpwstr>Privileged</vt:lpwstr>
  </property>
  <property fmtid="{D5CDD505-2E9C-101B-9397-08002B2CF9AE}" pid="6" name="MSIP_Label_a844c618-538c-404a-b2f6-f58b5e4f4fae_Name">
    <vt:lpwstr>Public</vt:lpwstr>
  </property>
  <property fmtid="{D5CDD505-2E9C-101B-9397-08002B2CF9AE}" pid="7" name="MSIP_Label_a844c618-538c-404a-b2f6-f58b5e4f4fae_SiteId">
    <vt:lpwstr>41eb501a-f671-4ce0-a5bf-b64168c3705f</vt:lpwstr>
  </property>
  <property fmtid="{D5CDD505-2E9C-101B-9397-08002B2CF9AE}" pid="8" name="MSIP_Label_a844c618-538c-404a-b2f6-f58b5e4f4fae_ActionId">
    <vt:lpwstr>8dfd5aa2-e3b1-4394-ae1e-079207fbe8b3</vt:lpwstr>
  </property>
  <property fmtid="{D5CDD505-2E9C-101B-9397-08002B2CF9AE}" pid="9" name="MSIP_Label_a844c618-538c-404a-b2f6-f58b5e4f4fae_ContentBits">
    <vt:lpwstr>0</vt:lpwstr>
  </property>
  <property fmtid="{D5CDD505-2E9C-101B-9397-08002B2CF9AE}" pid="10" name="MSIP_Label_a844c618-538c-404a-b2f6-f58b5e4f4fae_Tag">
    <vt:lpwstr>50, 0, 1, 1</vt:lpwstr>
  </property>
  <property fmtid="{D5CDD505-2E9C-101B-9397-08002B2CF9AE}" pid="11" name="ContentTypeId">
    <vt:lpwstr>0x0101000536BAEBF66F0542958329FEE2E166AD</vt:lpwstr>
  </property>
</Properties>
</file>