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78F6A" w14:textId="77777777" w:rsidR="00E3552B" w:rsidRDefault="00AD0F48" w:rsidP="009E6F5D">
      <w:pPr>
        <w:jc w:val="center"/>
        <w:rPr>
          <w:b/>
          <w:bCs/>
        </w:rPr>
      </w:pPr>
      <w:bookmarkStart w:id="0" w:name="_Hlk134712990"/>
      <w:r w:rsidRPr="00AD0F48">
        <w:rPr>
          <w:b/>
          <w:bCs/>
        </w:rPr>
        <w:t xml:space="preserve">1115 Demonstration Facilitation Tool: Crosswalk of Requested Reentry Demonstration Features to Federal Requirements and </w:t>
      </w:r>
    </w:p>
    <w:p w14:paraId="1BCA17D5" w14:textId="2009F7E3" w:rsidR="00AD0F48" w:rsidRPr="00AD0F48" w:rsidRDefault="00AD0F48" w:rsidP="009E6F5D">
      <w:pPr>
        <w:jc w:val="center"/>
        <w:rPr>
          <w:i/>
          <w:iCs/>
        </w:rPr>
      </w:pPr>
      <w:r w:rsidRPr="00AD0F48">
        <w:rPr>
          <w:b/>
          <w:bCs/>
        </w:rPr>
        <w:t>California’s Approved Demonstration</w:t>
      </w:r>
    </w:p>
    <w:p w14:paraId="48D708B6" w14:textId="72C4B228" w:rsidR="00AD0F48" w:rsidRPr="00AD0F48" w:rsidRDefault="00AD0F48" w:rsidP="00BC1C88">
      <w:pPr>
        <w:jc w:val="center"/>
        <w:rPr>
          <w:i/>
          <w:iCs/>
        </w:rPr>
      </w:pPr>
      <w:r w:rsidRPr="00AD0F48">
        <w:rPr>
          <w:i/>
          <w:iCs/>
        </w:rPr>
        <w:t xml:space="preserve">Last Updated May </w:t>
      </w:r>
      <w:r w:rsidR="00FF1B69">
        <w:rPr>
          <w:i/>
          <w:iCs/>
        </w:rPr>
        <w:t>22</w:t>
      </w:r>
      <w:r w:rsidRPr="00AD0F48">
        <w:rPr>
          <w:i/>
          <w:iCs/>
        </w:rPr>
        <w:t>, 2023</w:t>
      </w:r>
    </w:p>
    <w:p w14:paraId="57ABCD35" w14:textId="148D3596" w:rsidR="00AD0F48" w:rsidRPr="00AD0F48" w:rsidRDefault="00AD0F48" w:rsidP="00AD0F48">
      <w:r w:rsidRPr="00AD0F48">
        <w:t xml:space="preserve">On January 26, 2023, the Centers for Medicare &amp; Medicaid Services (CMS) approved California’s request to amend the </w:t>
      </w:r>
      <w:hyperlink r:id="rId9" w:history="1">
        <w:r w:rsidRPr="00AD0F48">
          <w:rPr>
            <w:rStyle w:val="Hyperlink"/>
          </w:rPr>
          <w:t>California Advancing and Innovating Medi-Cal (CalAIM) Section 1115 demonstration</w:t>
        </w:r>
      </w:hyperlink>
      <w:r w:rsidRPr="00AD0F48">
        <w:t>. On April 17, 2023, CMS released a State Medicaid Director Letter (SMDL), “</w:t>
      </w:r>
      <w:hyperlink r:id="rId10" w:history="1">
        <w:r w:rsidRPr="00AD0F48">
          <w:rPr>
            <w:rStyle w:val="Hyperlink"/>
          </w:rPr>
          <w:t>Opportunities to Test Transition-Related Strategies to Support Community Reentry and Improve Care Transitions for Individuals Who Are Incarcerated</w:t>
        </w:r>
      </w:hyperlink>
      <w:r w:rsidRPr="00AD0F48">
        <w:t xml:space="preserve">.” The following facilitation tool can be used as part of a state’s discussions with CMS regarding a requested demonstration’s proposed features as compared with the reentry requirements outlined in the SMDL and California’s section 1115 demonstration approval.  </w:t>
      </w:r>
    </w:p>
    <w:tbl>
      <w:tblPr>
        <w:tblStyle w:val="TableGrid"/>
        <w:tblW w:w="5769" w:type="pct"/>
        <w:tblInd w:w="-995" w:type="dxa"/>
        <w:tblLayout w:type="fixed"/>
        <w:tblLook w:val="04A0" w:firstRow="1" w:lastRow="0" w:firstColumn="1" w:lastColumn="0" w:noHBand="0" w:noVBand="1"/>
      </w:tblPr>
      <w:tblGrid>
        <w:gridCol w:w="1889"/>
        <w:gridCol w:w="3511"/>
        <w:gridCol w:w="3873"/>
        <w:gridCol w:w="3156"/>
        <w:gridCol w:w="2513"/>
      </w:tblGrid>
      <w:tr w:rsidR="00AD0F48" w:rsidRPr="00AD0F48" w14:paraId="634195CE" w14:textId="77777777" w:rsidTr="006443C3">
        <w:trPr>
          <w:trHeight w:val="467"/>
          <w:tblHeader/>
        </w:trPr>
        <w:tc>
          <w:tcPr>
            <w:tcW w:w="632" w:type="pct"/>
            <w:shd w:val="clear" w:color="auto" w:fill="612A5C"/>
            <w:vAlign w:val="center"/>
          </w:tcPr>
          <w:p w14:paraId="74EC5BC4" w14:textId="77777777" w:rsidR="00AD0F48" w:rsidRPr="00AD0F48" w:rsidRDefault="00AD0F48" w:rsidP="00AD0F48">
            <w:pPr>
              <w:spacing w:after="160" w:line="259" w:lineRule="auto"/>
              <w:rPr>
                <w:b/>
                <w:bCs/>
                <w:color w:val="FFFFFF" w:themeColor="background1"/>
              </w:rPr>
            </w:pPr>
            <w:r w:rsidRPr="00AD0F48">
              <w:rPr>
                <w:b/>
                <w:bCs/>
                <w:color w:val="FFFFFF" w:themeColor="background1"/>
              </w:rPr>
              <w:t>Reentry Demonstration Request</w:t>
            </w:r>
          </w:p>
        </w:tc>
        <w:tc>
          <w:tcPr>
            <w:tcW w:w="1175" w:type="pct"/>
            <w:shd w:val="clear" w:color="auto" w:fill="808080" w:themeFill="background1" w:themeFillShade="80"/>
            <w:vAlign w:val="center"/>
          </w:tcPr>
          <w:p w14:paraId="2A897586" w14:textId="77777777" w:rsidR="00AD0F48" w:rsidRPr="00AD0F48" w:rsidRDefault="00AD0F48" w:rsidP="00AD0F48">
            <w:pPr>
              <w:spacing w:after="160" w:line="259" w:lineRule="auto"/>
              <w:rPr>
                <w:b/>
                <w:bCs/>
                <w:color w:val="FFFFFF" w:themeColor="background1"/>
              </w:rPr>
            </w:pPr>
            <w:r w:rsidRPr="00AD0F48">
              <w:rPr>
                <w:b/>
                <w:bCs/>
                <w:color w:val="FFFFFF" w:themeColor="background1"/>
              </w:rPr>
              <w:t>Summary of SMDL</w:t>
            </w:r>
          </w:p>
        </w:tc>
        <w:tc>
          <w:tcPr>
            <w:tcW w:w="1296" w:type="pct"/>
            <w:shd w:val="clear" w:color="auto" w:fill="808080" w:themeFill="background1" w:themeFillShade="80"/>
            <w:vAlign w:val="center"/>
          </w:tcPr>
          <w:p w14:paraId="766E7150" w14:textId="77777777" w:rsidR="00AD0F48" w:rsidRPr="00AD0F48" w:rsidRDefault="00AD0F48" w:rsidP="00AD0F48">
            <w:pPr>
              <w:spacing w:after="160" w:line="259" w:lineRule="auto"/>
              <w:rPr>
                <w:b/>
                <w:bCs/>
                <w:color w:val="FFFFFF" w:themeColor="background1"/>
              </w:rPr>
            </w:pPr>
            <w:r w:rsidRPr="00AD0F48">
              <w:rPr>
                <w:b/>
                <w:bCs/>
                <w:color w:val="FFFFFF" w:themeColor="background1"/>
              </w:rPr>
              <w:t>Summary of California’s Approved 1115 Demonstration</w:t>
            </w:r>
          </w:p>
        </w:tc>
        <w:tc>
          <w:tcPr>
            <w:tcW w:w="1056" w:type="pct"/>
            <w:shd w:val="clear" w:color="auto" w:fill="808080" w:themeFill="background1" w:themeFillShade="80"/>
            <w:vAlign w:val="center"/>
          </w:tcPr>
          <w:p w14:paraId="05FE0FE3" w14:textId="77777777" w:rsidR="00AD0F48" w:rsidRPr="00AD0F48" w:rsidRDefault="00AD0F48" w:rsidP="00AD0F48">
            <w:pPr>
              <w:spacing w:after="160" w:line="259" w:lineRule="auto"/>
              <w:rPr>
                <w:b/>
                <w:bCs/>
                <w:color w:val="FFFFFF" w:themeColor="background1"/>
              </w:rPr>
            </w:pPr>
            <w:r w:rsidRPr="00AD0F48">
              <w:rPr>
                <w:b/>
                <w:bCs/>
                <w:color w:val="FFFFFF" w:themeColor="background1"/>
              </w:rPr>
              <w:t>State’s Proposal</w:t>
            </w:r>
          </w:p>
        </w:tc>
        <w:tc>
          <w:tcPr>
            <w:tcW w:w="841" w:type="pct"/>
            <w:shd w:val="clear" w:color="auto" w:fill="808080" w:themeFill="background1" w:themeFillShade="80"/>
            <w:vAlign w:val="center"/>
          </w:tcPr>
          <w:p w14:paraId="7EB43AD2" w14:textId="77777777" w:rsidR="00AD0F48" w:rsidRPr="00AD0F48" w:rsidRDefault="00AD0F48" w:rsidP="00AD0F48">
            <w:pPr>
              <w:spacing w:after="160" w:line="259" w:lineRule="auto"/>
              <w:rPr>
                <w:b/>
                <w:bCs/>
                <w:color w:val="FFFFFF" w:themeColor="background1"/>
              </w:rPr>
            </w:pPr>
            <w:r w:rsidRPr="00AD0F48">
              <w:rPr>
                <w:b/>
                <w:bCs/>
                <w:color w:val="FFFFFF" w:themeColor="background1"/>
              </w:rPr>
              <w:t>State’s Assessment of Proposal’s Alignment with SMDL and California’s Approved Demonstration</w:t>
            </w:r>
          </w:p>
        </w:tc>
      </w:tr>
      <w:tr w:rsidR="00AD0F48" w:rsidRPr="00AD0F48" w14:paraId="10C4F7EE" w14:textId="77777777" w:rsidTr="006443C3">
        <w:tc>
          <w:tcPr>
            <w:tcW w:w="632" w:type="pct"/>
            <w:shd w:val="clear" w:color="auto" w:fill="E5C1E1"/>
          </w:tcPr>
          <w:p w14:paraId="661CE211" w14:textId="77777777" w:rsidR="00AD0F48" w:rsidRPr="00AD0F48" w:rsidRDefault="00AD0F48" w:rsidP="00AD0F48">
            <w:pPr>
              <w:spacing w:after="160" w:line="259" w:lineRule="auto"/>
            </w:pPr>
            <w:r w:rsidRPr="00AD0F48">
              <w:rPr>
                <w:b/>
              </w:rPr>
              <w:t>Eligible Populations</w:t>
            </w:r>
          </w:p>
          <w:p w14:paraId="7D198508" w14:textId="77777777" w:rsidR="00AD0F48" w:rsidRPr="00AD0F48" w:rsidRDefault="00AD0F48" w:rsidP="00AD0F48">
            <w:pPr>
              <w:spacing w:after="160" w:line="259" w:lineRule="auto"/>
              <w:rPr>
                <w:b/>
              </w:rPr>
            </w:pPr>
          </w:p>
        </w:tc>
        <w:tc>
          <w:tcPr>
            <w:tcW w:w="1175" w:type="pct"/>
          </w:tcPr>
          <w:p w14:paraId="55C6BAC3" w14:textId="084D6707" w:rsidR="00AD0F48" w:rsidRPr="00AD0F48" w:rsidRDefault="00AD0F48" w:rsidP="00AD0F48">
            <w:pPr>
              <w:spacing w:after="160" w:line="259" w:lineRule="auto"/>
            </w:pPr>
            <w:r w:rsidRPr="00AD0F48">
              <w:t xml:space="preserve">States may propose a broadly defined </w:t>
            </w:r>
            <w:r w:rsidR="004661ED">
              <w:t>d</w:t>
            </w:r>
            <w:r w:rsidRPr="00AD0F48">
              <w:t xml:space="preserve">emonstration population that includes otherwise eligible, soon-to-be former incarcerated individuals. </w:t>
            </w:r>
          </w:p>
          <w:p w14:paraId="43F7B922" w14:textId="7F6DED2E" w:rsidR="00AD0F48" w:rsidRPr="00AD0F48" w:rsidRDefault="00AD0F48" w:rsidP="00AD0F48">
            <w:pPr>
              <w:spacing w:after="160" w:line="259" w:lineRule="auto"/>
            </w:pPr>
            <w:r w:rsidRPr="00AD0F48">
              <w:t>States have the flexibility to define their populations of focus (e.g., adults and youth in prisons, jails and youth correctional facilities) for pre-</w:t>
            </w:r>
            <w:r w:rsidRPr="00AD0F48">
              <w:lastRenderedPageBreak/>
              <w:t xml:space="preserve">release services and to establish eligibility criteria </w:t>
            </w:r>
            <w:r w:rsidR="004661ED">
              <w:t>[</w:t>
            </w:r>
            <w:r w:rsidRPr="00AD0F48">
              <w:t>e.g., individuals with substance-use disorder (SUD) and/o</w:t>
            </w:r>
            <w:bookmarkStart w:id="1" w:name="_GoBack"/>
            <w:bookmarkEnd w:id="1"/>
            <w:r w:rsidRPr="00AD0F48">
              <w:t>r serious mental illness (SMI)</w:t>
            </w:r>
            <w:r w:rsidR="003A017A">
              <w:t>]</w:t>
            </w:r>
            <w:r w:rsidRPr="00AD0F48">
              <w:t>.</w:t>
            </w:r>
          </w:p>
        </w:tc>
        <w:tc>
          <w:tcPr>
            <w:tcW w:w="1296" w:type="pct"/>
          </w:tcPr>
          <w:p w14:paraId="11863594" w14:textId="77777777" w:rsidR="00AD0F48" w:rsidRPr="00AD0F48" w:rsidRDefault="00AD0F48" w:rsidP="00306B97">
            <w:pPr>
              <w:numPr>
                <w:ilvl w:val="0"/>
                <w:numId w:val="1"/>
              </w:numPr>
              <w:spacing w:line="259" w:lineRule="auto"/>
            </w:pPr>
            <w:r w:rsidRPr="00AD0F48">
              <w:lastRenderedPageBreak/>
              <w:t>California will cover youth and adults who would otherwise be eligible for Medicaid or CHIP except for their incarceration status in the 90-day period prior to release from correctional facilities (state prisons, county jails, or youth correctional facilities).</w:t>
            </w:r>
          </w:p>
          <w:p w14:paraId="64C23BA4" w14:textId="77777777" w:rsidR="00AD0F48" w:rsidRPr="00AD0F48" w:rsidRDefault="00AD0F48" w:rsidP="00670EFE">
            <w:pPr>
              <w:numPr>
                <w:ilvl w:val="0"/>
                <w:numId w:val="1"/>
              </w:numPr>
              <w:spacing w:line="259" w:lineRule="auto"/>
            </w:pPr>
            <w:r w:rsidRPr="00AD0F48">
              <w:lastRenderedPageBreak/>
              <w:t>Incarcerated individuals must meet the following criteria to receive in-reach services:</w:t>
            </w:r>
          </w:p>
          <w:p w14:paraId="0A76EA5B" w14:textId="77777777" w:rsidR="00AD0F48" w:rsidRPr="00AD0F48" w:rsidRDefault="00AD0F48" w:rsidP="00670EFE">
            <w:pPr>
              <w:numPr>
                <w:ilvl w:val="1"/>
                <w:numId w:val="1"/>
              </w:numPr>
              <w:spacing w:line="259" w:lineRule="auto"/>
            </w:pPr>
            <w:r w:rsidRPr="00AD0F48">
              <w:t xml:space="preserve">Be part of a Medicaid or CHIP Eligibility Group, </w:t>
            </w:r>
            <w:r w:rsidRPr="00AD0F48">
              <w:rPr>
                <w:b/>
                <w:bCs/>
              </w:rPr>
              <w:t>and</w:t>
            </w:r>
            <w:r w:rsidRPr="00AD0F48">
              <w:t xml:space="preserve"> </w:t>
            </w:r>
          </w:p>
          <w:p w14:paraId="0F096E7E" w14:textId="77777777" w:rsidR="00AD0F48" w:rsidRPr="00AD0F48" w:rsidRDefault="00AD0F48" w:rsidP="00670EFE">
            <w:pPr>
              <w:numPr>
                <w:ilvl w:val="1"/>
                <w:numId w:val="1"/>
              </w:numPr>
              <w:spacing w:line="259" w:lineRule="auto"/>
            </w:pPr>
            <w:r w:rsidRPr="00AD0F48">
              <w:t>Meet one of the following healthcare need criteria (includes confirmed and suspected diagnoses):</w:t>
            </w:r>
          </w:p>
          <w:p w14:paraId="77E08B8C" w14:textId="1259A207" w:rsidR="00AD0F48" w:rsidRPr="00AD0F48" w:rsidRDefault="00AD0F48" w:rsidP="009E6F5D">
            <w:pPr>
              <w:numPr>
                <w:ilvl w:val="2"/>
                <w:numId w:val="1"/>
              </w:numPr>
              <w:spacing w:line="259" w:lineRule="auto"/>
            </w:pPr>
            <w:r w:rsidRPr="00AD0F48">
              <w:t xml:space="preserve">Mental </w:t>
            </w:r>
            <w:r w:rsidR="00477968">
              <w:t>i</w:t>
            </w:r>
            <w:r w:rsidRPr="00AD0F48">
              <w:t>llness</w:t>
            </w:r>
          </w:p>
          <w:p w14:paraId="7C566767" w14:textId="2ADB3F99" w:rsidR="00AD0F48" w:rsidRPr="00AD0F48" w:rsidRDefault="00AD0F48" w:rsidP="009E6F5D">
            <w:pPr>
              <w:numPr>
                <w:ilvl w:val="2"/>
                <w:numId w:val="1"/>
              </w:numPr>
              <w:spacing w:line="259" w:lineRule="auto"/>
            </w:pPr>
            <w:r w:rsidRPr="00AD0F48">
              <w:t>SUD</w:t>
            </w:r>
          </w:p>
          <w:p w14:paraId="19C9C9D7" w14:textId="69D45A8C" w:rsidR="00AD0F48" w:rsidRPr="00AD0F48" w:rsidRDefault="00AD0F48" w:rsidP="009E6F5D">
            <w:pPr>
              <w:numPr>
                <w:ilvl w:val="2"/>
                <w:numId w:val="1"/>
              </w:numPr>
              <w:spacing w:line="259" w:lineRule="auto"/>
            </w:pPr>
            <w:r w:rsidRPr="00AD0F48">
              <w:t xml:space="preserve">Chronic </w:t>
            </w:r>
            <w:r w:rsidR="00477968">
              <w:t>c</w:t>
            </w:r>
            <w:r w:rsidRPr="00AD0F48">
              <w:t>ondition/</w:t>
            </w:r>
            <w:r w:rsidR="00477968">
              <w:t>s</w:t>
            </w:r>
            <w:r w:rsidRPr="00AD0F48">
              <w:t xml:space="preserve">ignificant </w:t>
            </w:r>
            <w:r w:rsidR="00477968">
              <w:t>c</w:t>
            </w:r>
            <w:r w:rsidRPr="00AD0F48">
              <w:t xml:space="preserve">linical </w:t>
            </w:r>
            <w:r w:rsidR="00477968">
              <w:t>c</w:t>
            </w:r>
            <w:r w:rsidRPr="00AD0F48">
              <w:t>ondition</w:t>
            </w:r>
            <w:r w:rsidR="00670EFE">
              <w:t>.</w:t>
            </w:r>
          </w:p>
          <w:p w14:paraId="6D50F47A" w14:textId="4DD72BEC" w:rsidR="00AD0F48" w:rsidRPr="00AD0F48" w:rsidRDefault="00AD0F48" w:rsidP="00306B97">
            <w:pPr>
              <w:numPr>
                <w:ilvl w:val="2"/>
                <w:numId w:val="1"/>
              </w:numPr>
              <w:spacing w:line="259" w:lineRule="auto"/>
              <w:ind w:left="2203"/>
            </w:pPr>
            <w:r w:rsidRPr="00AD0F48">
              <w:lastRenderedPageBreak/>
              <w:t xml:space="preserve">Intellectual or </w:t>
            </w:r>
            <w:r w:rsidR="00477968">
              <w:t>d</w:t>
            </w:r>
            <w:r w:rsidRPr="00AD0F48">
              <w:t xml:space="preserve">evelopmental </w:t>
            </w:r>
            <w:r w:rsidR="00477968">
              <w:t>d</w:t>
            </w:r>
            <w:r w:rsidRPr="00AD0F48">
              <w:t>isability (I/DD)</w:t>
            </w:r>
          </w:p>
          <w:p w14:paraId="55BFCF13" w14:textId="2178FFF4" w:rsidR="00AD0F48" w:rsidRPr="00AD0F48" w:rsidRDefault="00AD0F48" w:rsidP="009E6F5D">
            <w:pPr>
              <w:numPr>
                <w:ilvl w:val="2"/>
                <w:numId w:val="1"/>
              </w:numPr>
              <w:spacing w:line="259" w:lineRule="auto"/>
            </w:pPr>
            <w:r w:rsidRPr="00AD0F48">
              <w:t xml:space="preserve">Traumatic </w:t>
            </w:r>
            <w:r w:rsidR="00477968">
              <w:t>b</w:t>
            </w:r>
            <w:r w:rsidRPr="00AD0F48">
              <w:t xml:space="preserve">rain </w:t>
            </w:r>
            <w:r w:rsidR="00477968">
              <w:t>i</w:t>
            </w:r>
            <w:r w:rsidRPr="00AD0F48">
              <w:t>njury</w:t>
            </w:r>
          </w:p>
          <w:p w14:paraId="3A77F554" w14:textId="39FFF7D3" w:rsidR="00AD0F48" w:rsidRPr="00AD0F48" w:rsidRDefault="00AD0F48" w:rsidP="009E6F5D">
            <w:pPr>
              <w:numPr>
                <w:ilvl w:val="2"/>
                <w:numId w:val="1"/>
              </w:numPr>
              <w:spacing w:line="259" w:lineRule="auto"/>
            </w:pPr>
            <w:r w:rsidRPr="00AD0F48">
              <w:t>HIV/AIDS</w:t>
            </w:r>
          </w:p>
          <w:p w14:paraId="270B60CC" w14:textId="621A670B" w:rsidR="00AD0F48" w:rsidRPr="00AD0F48" w:rsidRDefault="00AD0F48" w:rsidP="009E6F5D">
            <w:pPr>
              <w:numPr>
                <w:ilvl w:val="2"/>
                <w:numId w:val="1"/>
              </w:numPr>
              <w:spacing w:line="259" w:lineRule="auto"/>
            </w:pPr>
            <w:r w:rsidRPr="00AD0F48">
              <w:t xml:space="preserve">Pregnant or </w:t>
            </w:r>
            <w:r w:rsidR="00477968">
              <w:t>p</w:t>
            </w:r>
            <w:r w:rsidRPr="00AD0F48">
              <w:t>ostpartum</w:t>
            </w:r>
          </w:p>
          <w:p w14:paraId="7A8D3E4F" w14:textId="77777777" w:rsidR="00AD0F48" w:rsidRPr="00AD0F48" w:rsidRDefault="00AD0F48" w:rsidP="00AD0F48">
            <w:pPr>
              <w:numPr>
                <w:ilvl w:val="0"/>
                <w:numId w:val="1"/>
              </w:numPr>
              <w:spacing w:after="160" w:line="259" w:lineRule="auto"/>
            </w:pPr>
            <w:r w:rsidRPr="00AD0F48">
              <w:t>All incarcerated youth are able to receive pre-release services and do not need to demonstrate a healthcare need.</w:t>
            </w:r>
          </w:p>
        </w:tc>
        <w:tc>
          <w:tcPr>
            <w:tcW w:w="1056" w:type="pct"/>
          </w:tcPr>
          <w:p w14:paraId="179C527D" w14:textId="77777777" w:rsidR="00AD0F48" w:rsidRPr="00AD0F48" w:rsidRDefault="00AD0F48" w:rsidP="00AD0F48">
            <w:pPr>
              <w:numPr>
                <w:ilvl w:val="0"/>
                <w:numId w:val="1"/>
              </w:numPr>
              <w:spacing w:after="160" w:line="259" w:lineRule="auto"/>
            </w:pPr>
          </w:p>
          <w:p w14:paraId="63154D90" w14:textId="77777777" w:rsidR="00AD0F48" w:rsidRPr="00AD0F48" w:rsidRDefault="00AD0F48" w:rsidP="00AD0F48">
            <w:pPr>
              <w:spacing w:after="160" w:line="259" w:lineRule="auto"/>
            </w:pPr>
          </w:p>
        </w:tc>
        <w:tc>
          <w:tcPr>
            <w:tcW w:w="841" w:type="pct"/>
          </w:tcPr>
          <w:p w14:paraId="434D8A71" w14:textId="77777777" w:rsidR="00AD0F48" w:rsidRPr="00AD0F48" w:rsidRDefault="00AD0F48" w:rsidP="00AD0F48">
            <w:pPr>
              <w:numPr>
                <w:ilvl w:val="0"/>
                <w:numId w:val="1"/>
              </w:numPr>
              <w:spacing w:after="160" w:line="259" w:lineRule="auto"/>
            </w:pPr>
          </w:p>
        </w:tc>
      </w:tr>
      <w:tr w:rsidR="00AD0F48" w:rsidRPr="00AD0F48" w14:paraId="5D1CC3B0" w14:textId="77777777" w:rsidTr="006443C3">
        <w:tc>
          <w:tcPr>
            <w:tcW w:w="632" w:type="pct"/>
            <w:shd w:val="clear" w:color="auto" w:fill="E5C1E1"/>
          </w:tcPr>
          <w:p w14:paraId="6F6827FF" w14:textId="29F00C68" w:rsidR="00AD0F48" w:rsidRPr="00AD0F48" w:rsidRDefault="00AD0F48" w:rsidP="00AD0F48">
            <w:pPr>
              <w:spacing w:after="160" w:line="259" w:lineRule="auto"/>
              <w:rPr>
                <w:b/>
              </w:rPr>
            </w:pPr>
            <w:r w:rsidRPr="00AD0F48">
              <w:rPr>
                <w:b/>
              </w:rPr>
              <w:lastRenderedPageBreak/>
              <w:t>Pre-</w:t>
            </w:r>
            <w:r w:rsidR="00477968">
              <w:rPr>
                <w:b/>
              </w:rPr>
              <w:t>R</w:t>
            </w:r>
            <w:r w:rsidRPr="00AD0F48">
              <w:rPr>
                <w:b/>
              </w:rPr>
              <w:t>elease Service Providers</w:t>
            </w:r>
          </w:p>
        </w:tc>
        <w:tc>
          <w:tcPr>
            <w:tcW w:w="1175" w:type="pct"/>
          </w:tcPr>
          <w:p w14:paraId="0952756A" w14:textId="6D419AAA" w:rsidR="00AD0F48" w:rsidRPr="00AD0F48" w:rsidRDefault="00AD0F48" w:rsidP="00AD0F48">
            <w:pPr>
              <w:spacing w:after="160" w:line="259" w:lineRule="auto"/>
            </w:pPr>
            <w:r w:rsidRPr="00AD0F48">
              <w:t>States have flexibility to allow in-reach/community-based providers, embedded carceral health providers or both to provide reentry services. In-reach providers may provide services in person or via telehealth.</w:t>
            </w:r>
          </w:p>
          <w:p w14:paraId="2EE8BDB2" w14:textId="08D7515D" w:rsidR="00AD0F48" w:rsidRPr="00AD0F48" w:rsidRDefault="00AD0F48" w:rsidP="00AD0F48">
            <w:pPr>
              <w:spacing w:after="160" w:line="259" w:lineRule="auto"/>
            </w:pPr>
            <w:r w:rsidRPr="00AD0F48">
              <w:lastRenderedPageBreak/>
              <w:t>States that choose to allow embedded carceral health providers in this demonstration will also need to ensure that they comply with Medicaid provider participation policies as established by the state.</w:t>
            </w:r>
          </w:p>
          <w:p w14:paraId="31C22397" w14:textId="77777777" w:rsidR="00AD0F48" w:rsidRPr="00AD0F48" w:rsidRDefault="00AD0F48" w:rsidP="00AD0F48">
            <w:pPr>
              <w:spacing w:after="160" w:line="259" w:lineRule="auto"/>
            </w:pPr>
            <w:r w:rsidRPr="00670EFE">
              <w:rPr>
                <w:b/>
                <w:bCs/>
              </w:rPr>
              <w:t>NOTE</w:t>
            </w:r>
            <w:r w:rsidRPr="00AD0F48">
              <w:t>: CMS is examining the need for additional information on enrollment of carceral providers.</w:t>
            </w:r>
          </w:p>
        </w:tc>
        <w:tc>
          <w:tcPr>
            <w:tcW w:w="1296" w:type="pct"/>
          </w:tcPr>
          <w:p w14:paraId="7FDC2E18" w14:textId="77777777" w:rsidR="00AD0F48" w:rsidRPr="00AD0F48" w:rsidRDefault="00AD0F48" w:rsidP="009E6F5D">
            <w:pPr>
              <w:numPr>
                <w:ilvl w:val="0"/>
                <w:numId w:val="1"/>
              </w:numPr>
              <w:spacing w:line="259" w:lineRule="auto"/>
            </w:pPr>
            <w:r w:rsidRPr="00AD0F48">
              <w:lastRenderedPageBreak/>
              <w:t xml:space="preserve">Providers must be licensed, registered, certified or otherwise credentialed or recognized practitioners under California state scope of practice statutes. </w:t>
            </w:r>
          </w:p>
          <w:p w14:paraId="3CE1518B" w14:textId="77777777" w:rsidR="00AD0F48" w:rsidRPr="00AD0F48" w:rsidRDefault="00AD0F48" w:rsidP="009E6F5D">
            <w:pPr>
              <w:numPr>
                <w:ilvl w:val="0"/>
                <w:numId w:val="1"/>
              </w:numPr>
              <w:spacing w:line="259" w:lineRule="auto"/>
            </w:pPr>
            <w:r w:rsidRPr="00AD0F48">
              <w:t>Providers may be community-based or correctional-facility based.</w:t>
            </w:r>
          </w:p>
          <w:p w14:paraId="2B022108" w14:textId="7918AB79" w:rsidR="00AD0F48" w:rsidRPr="00AD0F48" w:rsidRDefault="00AD0F48" w:rsidP="009E6F5D">
            <w:pPr>
              <w:numPr>
                <w:ilvl w:val="0"/>
                <w:numId w:val="1"/>
              </w:numPr>
              <w:spacing w:line="259" w:lineRule="auto"/>
            </w:pPr>
            <w:r w:rsidRPr="00AD0F48">
              <w:lastRenderedPageBreak/>
              <w:t xml:space="preserve">All participating providers and provider staff, including carceral staff, must have the necessary experience and provider training prior to implementation of the </w:t>
            </w:r>
            <w:r w:rsidR="00C77551">
              <w:t>d</w:t>
            </w:r>
            <w:r w:rsidRPr="00AD0F48">
              <w:t>emonstration.</w:t>
            </w:r>
          </w:p>
        </w:tc>
        <w:tc>
          <w:tcPr>
            <w:tcW w:w="1056" w:type="pct"/>
          </w:tcPr>
          <w:p w14:paraId="0BB9FA17" w14:textId="77777777" w:rsidR="00AD0F48" w:rsidRPr="00AD0F48" w:rsidRDefault="00AD0F48" w:rsidP="00AD0F48">
            <w:pPr>
              <w:numPr>
                <w:ilvl w:val="0"/>
                <w:numId w:val="1"/>
              </w:numPr>
              <w:spacing w:after="160" w:line="259" w:lineRule="auto"/>
            </w:pPr>
          </w:p>
        </w:tc>
        <w:tc>
          <w:tcPr>
            <w:tcW w:w="841" w:type="pct"/>
          </w:tcPr>
          <w:p w14:paraId="78BBF116" w14:textId="77777777" w:rsidR="00AD0F48" w:rsidRPr="00AD0F48" w:rsidRDefault="00AD0F48" w:rsidP="00AD0F48">
            <w:pPr>
              <w:numPr>
                <w:ilvl w:val="0"/>
                <w:numId w:val="1"/>
              </w:numPr>
              <w:spacing w:after="160" w:line="259" w:lineRule="auto"/>
            </w:pPr>
          </w:p>
        </w:tc>
      </w:tr>
      <w:tr w:rsidR="00AD0F48" w:rsidRPr="00AD0F48" w14:paraId="30C20D95" w14:textId="77777777" w:rsidTr="006443C3">
        <w:tc>
          <w:tcPr>
            <w:tcW w:w="632" w:type="pct"/>
            <w:shd w:val="clear" w:color="auto" w:fill="E5C1E1"/>
          </w:tcPr>
          <w:p w14:paraId="338C29F4" w14:textId="77777777" w:rsidR="00AD0F48" w:rsidRPr="00AD0F48" w:rsidRDefault="00AD0F48" w:rsidP="00AD0F48">
            <w:pPr>
              <w:spacing w:after="160" w:line="259" w:lineRule="auto"/>
              <w:rPr>
                <w:b/>
                <w:bCs/>
              </w:rPr>
            </w:pPr>
            <w:r w:rsidRPr="00AD0F48">
              <w:rPr>
                <w:b/>
                <w:bCs/>
              </w:rPr>
              <w:t>Eligible Facilities</w:t>
            </w:r>
          </w:p>
        </w:tc>
        <w:tc>
          <w:tcPr>
            <w:tcW w:w="1175" w:type="pct"/>
          </w:tcPr>
          <w:p w14:paraId="5B149F62" w14:textId="42773BEA" w:rsidR="00AD0F48" w:rsidRPr="00AD0F48" w:rsidRDefault="00AD0F48" w:rsidP="00AD0F48">
            <w:pPr>
              <w:spacing w:after="160" w:line="259" w:lineRule="auto"/>
            </w:pPr>
            <w:r w:rsidRPr="00AD0F48">
              <w:t xml:space="preserve">CMS gives states flexibility to provide coverage of pre-release services in state or local correctional facilities (e.g., state prisons, jails, and/or youth correctional facilities). </w:t>
            </w:r>
          </w:p>
          <w:p w14:paraId="67E8BE25" w14:textId="73425CB1" w:rsidR="00AD0F48" w:rsidRPr="00AD0F48" w:rsidRDefault="00AD0F48" w:rsidP="00AD0F48">
            <w:pPr>
              <w:spacing w:after="160" w:line="259" w:lineRule="auto"/>
            </w:pPr>
            <w:r w:rsidRPr="00670EFE">
              <w:rPr>
                <w:b/>
                <w:bCs/>
              </w:rPr>
              <w:t>NOTE</w:t>
            </w:r>
            <w:r w:rsidRPr="00AD0F48">
              <w:t xml:space="preserve">: CMS is examining the possible inclusion of tribal carceral facilities and </w:t>
            </w:r>
            <w:r w:rsidR="00670EFE">
              <w:t>instit</w:t>
            </w:r>
            <w:r w:rsidR="004C7721">
              <w:t>utions</w:t>
            </w:r>
            <w:r w:rsidR="00670EFE">
              <w:t xml:space="preserve"> for mental disease (IMDs)</w:t>
            </w:r>
            <w:r w:rsidRPr="00AD0F48">
              <w:t xml:space="preserve"> for forensic </w:t>
            </w:r>
            <w:r w:rsidRPr="00AD0F48">
              <w:lastRenderedPageBreak/>
              <w:t>populations and may provide additional information in the future.</w:t>
            </w:r>
          </w:p>
          <w:p w14:paraId="66D371CC" w14:textId="77777777" w:rsidR="00AD0F48" w:rsidRPr="00AD0F48" w:rsidRDefault="00AD0F48" w:rsidP="00AD0F48">
            <w:pPr>
              <w:spacing w:after="160" w:line="259" w:lineRule="auto"/>
            </w:pPr>
            <w:r w:rsidRPr="00670EFE">
              <w:rPr>
                <w:b/>
                <w:bCs/>
              </w:rPr>
              <w:t>NOTE</w:t>
            </w:r>
            <w:r w:rsidRPr="00AD0F48">
              <w:t>: Participating states will conduct a readiness assessment of carceral settings before implementing the demonstration in those locations.</w:t>
            </w:r>
          </w:p>
        </w:tc>
        <w:tc>
          <w:tcPr>
            <w:tcW w:w="1296" w:type="pct"/>
          </w:tcPr>
          <w:p w14:paraId="58C18F93" w14:textId="77777777" w:rsidR="00AD0F48" w:rsidRPr="00AD0F48" w:rsidRDefault="00AD0F48" w:rsidP="00AD0F48">
            <w:pPr>
              <w:spacing w:after="160" w:line="259" w:lineRule="auto"/>
              <w:rPr>
                <w:b/>
                <w:bCs/>
              </w:rPr>
            </w:pPr>
            <w:r w:rsidRPr="00AD0F48">
              <w:lastRenderedPageBreak/>
              <w:t xml:space="preserve">State prisons, county jails, and county youth correctional facilities. </w:t>
            </w:r>
          </w:p>
        </w:tc>
        <w:tc>
          <w:tcPr>
            <w:tcW w:w="1056" w:type="pct"/>
          </w:tcPr>
          <w:p w14:paraId="14ADECE5" w14:textId="77777777" w:rsidR="00AD0F48" w:rsidRPr="00AD0F48" w:rsidRDefault="00AD0F48" w:rsidP="00AD0F48">
            <w:pPr>
              <w:numPr>
                <w:ilvl w:val="0"/>
                <w:numId w:val="1"/>
              </w:numPr>
              <w:spacing w:after="160" w:line="259" w:lineRule="auto"/>
            </w:pPr>
          </w:p>
        </w:tc>
        <w:tc>
          <w:tcPr>
            <w:tcW w:w="841" w:type="pct"/>
          </w:tcPr>
          <w:p w14:paraId="6F65D5A5" w14:textId="77777777" w:rsidR="00AD0F48" w:rsidRPr="00AD0F48" w:rsidRDefault="00AD0F48" w:rsidP="00AD0F48">
            <w:pPr>
              <w:numPr>
                <w:ilvl w:val="0"/>
                <w:numId w:val="1"/>
              </w:numPr>
              <w:spacing w:after="160" w:line="259" w:lineRule="auto"/>
            </w:pPr>
          </w:p>
        </w:tc>
      </w:tr>
      <w:tr w:rsidR="00AD0F48" w:rsidRPr="00AD0F48" w14:paraId="5E39F990" w14:textId="77777777" w:rsidTr="006443C3">
        <w:tc>
          <w:tcPr>
            <w:tcW w:w="632" w:type="pct"/>
            <w:shd w:val="clear" w:color="auto" w:fill="E5C1E1"/>
          </w:tcPr>
          <w:p w14:paraId="1F8FE3AC" w14:textId="77777777" w:rsidR="00AD0F48" w:rsidRPr="00AD0F48" w:rsidRDefault="00AD0F48" w:rsidP="00AD0F48">
            <w:pPr>
              <w:spacing w:after="160" w:line="259" w:lineRule="auto"/>
              <w:rPr>
                <w:b/>
                <w:bCs/>
              </w:rPr>
            </w:pPr>
            <w:r w:rsidRPr="00AD0F48">
              <w:rPr>
                <w:b/>
                <w:bCs/>
              </w:rPr>
              <w:t xml:space="preserve">Scope of Targeted Reentry Services </w:t>
            </w:r>
          </w:p>
          <w:p w14:paraId="6E1E0F74" w14:textId="77777777" w:rsidR="00AD0F48" w:rsidRPr="00AD0F48" w:rsidRDefault="00AD0F48" w:rsidP="00AD0F48">
            <w:pPr>
              <w:spacing w:after="160" w:line="259" w:lineRule="auto"/>
              <w:rPr>
                <w:b/>
                <w:bCs/>
              </w:rPr>
            </w:pPr>
          </w:p>
        </w:tc>
        <w:tc>
          <w:tcPr>
            <w:tcW w:w="1175" w:type="pct"/>
          </w:tcPr>
          <w:p w14:paraId="1243CA68" w14:textId="53EAE697" w:rsidR="00AD0F48" w:rsidRPr="00AD0F48" w:rsidRDefault="00AD0F48" w:rsidP="00AD0F48">
            <w:pPr>
              <w:spacing w:after="160" w:line="259" w:lineRule="auto"/>
            </w:pPr>
            <w:r w:rsidRPr="00AD0F48">
              <w:t xml:space="preserve">CMS requires states to provide a minimum benefit package of three covered services under the </w:t>
            </w:r>
            <w:r w:rsidR="004C7721">
              <w:t>d</w:t>
            </w:r>
            <w:r w:rsidRPr="00AD0F48">
              <w:t>emonstration:</w:t>
            </w:r>
          </w:p>
          <w:p w14:paraId="4DB8B599" w14:textId="2C3784CD" w:rsidR="00AD0F48" w:rsidRPr="00AD0F48" w:rsidRDefault="00AD0F48" w:rsidP="009E6F5D">
            <w:pPr>
              <w:numPr>
                <w:ilvl w:val="0"/>
                <w:numId w:val="5"/>
              </w:numPr>
              <w:spacing w:line="259" w:lineRule="auto"/>
            </w:pPr>
            <w:r w:rsidRPr="00AD0F48">
              <w:t xml:space="preserve">Case </w:t>
            </w:r>
            <w:r w:rsidR="004C7721">
              <w:t>m</w:t>
            </w:r>
            <w:r w:rsidRPr="00AD0F48">
              <w:t xml:space="preserve">anagement to </w:t>
            </w:r>
            <w:r w:rsidR="004C7721">
              <w:t>a</w:t>
            </w:r>
            <w:r w:rsidRPr="00AD0F48">
              <w:t xml:space="preserve">ssess and </w:t>
            </w:r>
            <w:r w:rsidR="004C7721">
              <w:t>a</w:t>
            </w:r>
            <w:r w:rsidRPr="00AD0F48">
              <w:t xml:space="preserve">ddress </w:t>
            </w:r>
            <w:r w:rsidR="004C7721">
              <w:t>p</w:t>
            </w:r>
            <w:r w:rsidRPr="00AD0F48">
              <w:t xml:space="preserve">hysical and </w:t>
            </w:r>
            <w:r w:rsidR="004C7721">
              <w:t>b</w:t>
            </w:r>
            <w:r w:rsidRPr="00AD0F48">
              <w:t xml:space="preserve">ehavioral </w:t>
            </w:r>
            <w:r w:rsidR="004C7721">
              <w:t>h</w:t>
            </w:r>
            <w:r w:rsidRPr="00AD0F48">
              <w:t xml:space="preserve">ealth </w:t>
            </w:r>
            <w:r w:rsidR="004C7721">
              <w:t>n</w:t>
            </w:r>
            <w:r w:rsidRPr="00AD0F48">
              <w:t xml:space="preserve">eeds, and </w:t>
            </w:r>
            <w:r w:rsidR="004C7721">
              <w:t>h</w:t>
            </w:r>
            <w:r w:rsidRPr="00AD0F48">
              <w:t>ealth-</w:t>
            </w:r>
            <w:r w:rsidR="004C7721">
              <w:t>r</w:t>
            </w:r>
            <w:r w:rsidRPr="00AD0F48">
              <w:t xml:space="preserve">elated </w:t>
            </w:r>
            <w:r w:rsidR="004C7721">
              <w:t>s</w:t>
            </w:r>
            <w:r w:rsidRPr="00AD0F48">
              <w:t xml:space="preserve">ocial </w:t>
            </w:r>
            <w:r w:rsidR="004C7721">
              <w:t>n</w:t>
            </w:r>
            <w:r w:rsidRPr="00AD0F48">
              <w:t>eeds (HRSN)</w:t>
            </w:r>
            <w:r w:rsidR="00477968">
              <w:t>.</w:t>
            </w:r>
          </w:p>
          <w:p w14:paraId="4B2F4139" w14:textId="223234A6" w:rsidR="004C7721" w:rsidRDefault="00AD0F48" w:rsidP="004C7721">
            <w:pPr>
              <w:numPr>
                <w:ilvl w:val="0"/>
                <w:numId w:val="5"/>
              </w:numPr>
              <w:spacing w:line="259" w:lineRule="auto"/>
            </w:pPr>
            <w:r w:rsidRPr="00AD0F48">
              <w:t>MAT</w:t>
            </w:r>
          </w:p>
          <w:p w14:paraId="3475D29B" w14:textId="5FBD9144" w:rsidR="00AD0F48" w:rsidRPr="00AD0F48" w:rsidRDefault="00AD0F48" w:rsidP="004C7721">
            <w:pPr>
              <w:numPr>
                <w:ilvl w:val="0"/>
                <w:numId w:val="5"/>
              </w:numPr>
              <w:spacing w:line="259" w:lineRule="auto"/>
            </w:pPr>
            <w:r w:rsidRPr="00AD0F48">
              <w:lastRenderedPageBreak/>
              <w:t xml:space="preserve">30-day </w:t>
            </w:r>
            <w:r w:rsidR="004C7721">
              <w:t>s</w:t>
            </w:r>
            <w:r w:rsidRPr="00AD0F48">
              <w:t xml:space="preserve">upply of </w:t>
            </w:r>
            <w:r w:rsidR="004C7721">
              <w:t>a</w:t>
            </w:r>
            <w:r w:rsidRPr="00AD0F48">
              <w:t xml:space="preserve">ll </w:t>
            </w:r>
            <w:r w:rsidR="004C7721">
              <w:t>p</w:t>
            </w:r>
            <w:r w:rsidRPr="00AD0F48">
              <w:t xml:space="preserve">rescription </w:t>
            </w:r>
            <w:r w:rsidR="004C7721">
              <w:t>m</w:t>
            </w:r>
            <w:r w:rsidRPr="00AD0F48">
              <w:t xml:space="preserve">edications as clinically appropriate </w:t>
            </w:r>
            <w:r w:rsidR="004C7721">
              <w:t>a</w:t>
            </w:r>
            <w:r w:rsidRPr="00AD0F48">
              <w:t xml:space="preserve">t </w:t>
            </w:r>
            <w:r w:rsidR="004C7721">
              <w:t>p</w:t>
            </w:r>
            <w:r w:rsidRPr="00AD0F48">
              <w:t xml:space="preserve">oint of </w:t>
            </w:r>
            <w:r w:rsidR="004C7721">
              <w:t>r</w:t>
            </w:r>
            <w:r w:rsidRPr="00AD0F48">
              <w:t>elease</w:t>
            </w:r>
            <w:r w:rsidR="00670EFE">
              <w:t>.</w:t>
            </w:r>
          </w:p>
        </w:tc>
        <w:tc>
          <w:tcPr>
            <w:tcW w:w="1296" w:type="pct"/>
          </w:tcPr>
          <w:p w14:paraId="271D5FDF" w14:textId="067AB872" w:rsidR="00AD0F48" w:rsidRPr="00AD0F48" w:rsidRDefault="00AD0F48" w:rsidP="009E6F5D">
            <w:pPr>
              <w:numPr>
                <w:ilvl w:val="0"/>
                <w:numId w:val="2"/>
              </w:numPr>
              <w:spacing w:line="259" w:lineRule="auto"/>
            </w:pPr>
            <w:r w:rsidRPr="00AD0F48">
              <w:lastRenderedPageBreak/>
              <w:t>Case management</w:t>
            </w:r>
          </w:p>
          <w:p w14:paraId="2CF3C681" w14:textId="2D029F9E" w:rsidR="00AD0F48" w:rsidRPr="00AD0F48" w:rsidRDefault="00AD0F48" w:rsidP="009E6F5D">
            <w:pPr>
              <w:numPr>
                <w:ilvl w:val="0"/>
                <w:numId w:val="2"/>
              </w:numPr>
              <w:spacing w:line="259" w:lineRule="auto"/>
            </w:pPr>
            <w:r w:rsidRPr="00AD0F48">
              <w:t>Physical and behavioral health clinical consultation</w:t>
            </w:r>
          </w:p>
          <w:p w14:paraId="1F130A33" w14:textId="58B23EB3" w:rsidR="00AD0F48" w:rsidRPr="00AD0F48" w:rsidRDefault="00AD0F48" w:rsidP="009E6F5D">
            <w:pPr>
              <w:numPr>
                <w:ilvl w:val="0"/>
                <w:numId w:val="2"/>
              </w:numPr>
              <w:spacing w:line="259" w:lineRule="auto"/>
            </w:pPr>
            <w:r w:rsidRPr="00AD0F48">
              <w:t>Lab and radiology</w:t>
            </w:r>
          </w:p>
          <w:p w14:paraId="387AF702" w14:textId="491C2BBF" w:rsidR="00AD0F48" w:rsidRPr="00AD0F48" w:rsidRDefault="004C7721" w:rsidP="009E6F5D">
            <w:pPr>
              <w:numPr>
                <w:ilvl w:val="0"/>
                <w:numId w:val="2"/>
              </w:numPr>
              <w:spacing w:line="259" w:lineRule="auto"/>
            </w:pPr>
            <w:r>
              <w:t>Medication assisted treatment (</w:t>
            </w:r>
            <w:r w:rsidR="00AD0F48" w:rsidRPr="00AD0F48">
              <w:t>MAT</w:t>
            </w:r>
            <w:r>
              <w:t>)</w:t>
            </w:r>
          </w:p>
          <w:p w14:paraId="6062CF35" w14:textId="58C72C9B" w:rsidR="00AD0F48" w:rsidRPr="00AD0F48" w:rsidRDefault="00AD0F48" w:rsidP="009E6F5D">
            <w:pPr>
              <w:numPr>
                <w:ilvl w:val="0"/>
                <w:numId w:val="2"/>
              </w:numPr>
              <w:spacing w:line="259" w:lineRule="auto"/>
            </w:pPr>
            <w:r w:rsidRPr="00AD0F48">
              <w:t>Services provided by community health workers with lived experience</w:t>
            </w:r>
            <w:r w:rsidR="00477968">
              <w:t>.</w:t>
            </w:r>
          </w:p>
          <w:p w14:paraId="51E6EDAA" w14:textId="6C071790" w:rsidR="00477968" w:rsidRPr="00AD0F48" w:rsidRDefault="00AD0F48" w:rsidP="009E6F5D">
            <w:pPr>
              <w:numPr>
                <w:ilvl w:val="0"/>
                <w:numId w:val="2"/>
              </w:numPr>
              <w:spacing w:line="259" w:lineRule="auto"/>
              <w:rPr>
                <w:b/>
                <w:bCs/>
              </w:rPr>
            </w:pPr>
            <w:r w:rsidRPr="00AD0F48">
              <w:lastRenderedPageBreak/>
              <w:t>Medications and medication administration during the pre-release period.</w:t>
            </w:r>
          </w:p>
          <w:p w14:paraId="1ACB5D83" w14:textId="77777777" w:rsidR="00AD0F48" w:rsidRPr="00477968" w:rsidRDefault="00AD0F48" w:rsidP="00306B97">
            <w:pPr>
              <w:spacing w:line="259" w:lineRule="auto"/>
              <w:ind w:left="360"/>
              <w:rPr>
                <w:b/>
                <w:bCs/>
              </w:rPr>
            </w:pPr>
          </w:p>
          <w:p w14:paraId="06CF29C2" w14:textId="77777777" w:rsidR="00AD0F48" w:rsidRPr="00AD0F48" w:rsidRDefault="00AD0F48" w:rsidP="00AD0F48">
            <w:pPr>
              <w:spacing w:after="160" w:line="259" w:lineRule="auto"/>
              <w:rPr>
                <w:b/>
              </w:rPr>
            </w:pPr>
            <w:r w:rsidRPr="00AD0F48">
              <w:t>In addition to the covered reentry services, individuals will receive: (1) a 30-day supply of covered outpatient medications to have in hand upon release, as clinically appropriate; and (2) durable medical equipment upon release, both are consistent with approved state plan coverage and policy.</w:t>
            </w:r>
          </w:p>
        </w:tc>
        <w:tc>
          <w:tcPr>
            <w:tcW w:w="1056" w:type="pct"/>
          </w:tcPr>
          <w:p w14:paraId="5481AFAC" w14:textId="77777777" w:rsidR="00AD0F48" w:rsidRPr="00AD0F48" w:rsidRDefault="00AD0F48" w:rsidP="00AD0F48">
            <w:pPr>
              <w:numPr>
                <w:ilvl w:val="0"/>
                <w:numId w:val="2"/>
              </w:numPr>
              <w:spacing w:after="160" w:line="259" w:lineRule="auto"/>
            </w:pPr>
          </w:p>
        </w:tc>
        <w:tc>
          <w:tcPr>
            <w:tcW w:w="841" w:type="pct"/>
          </w:tcPr>
          <w:p w14:paraId="0E3D3C2B" w14:textId="77777777" w:rsidR="00AD0F48" w:rsidRPr="00AD0F48" w:rsidRDefault="00AD0F48" w:rsidP="00AD0F48">
            <w:pPr>
              <w:numPr>
                <w:ilvl w:val="0"/>
                <w:numId w:val="2"/>
              </w:numPr>
              <w:spacing w:after="160" w:line="259" w:lineRule="auto"/>
            </w:pPr>
          </w:p>
        </w:tc>
      </w:tr>
      <w:tr w:rsidR="00AD0F48" w:rsidRPr="00AD0F48" w14:paraId="219487C9" w14:textId="77777777" w:rsidTr="006443C3">
        <w:tc>
          <w:tcPr>
            <w:tcW w:w="632" w:type="pct"/>
            <w:shd w:val="clear" w:color="auto" w:fill="E5C1E1"/>
          </w:tcPr>
          <w:p w14:paraId="7127EF23" w14:textId="77777777" w:rsidR="00AD0F48" w:rsidRPr="00AD0F48" w:rsidRDefault="00AD0F48" w:rsidP="00AD0F48">
            <w:pPr>
              <w:spacing w:after="160" w:line="259" w:lineRule="auto"/>
              <w:rPr>
                <w:b/>
              </w:rPr>
            </w:pPr>
            <w:r w:rsidRPr="00AD0F48">
              <w:rPr>
                <w:b/>
              </w:rPr>
              <w:t>Duration of Covered Services</w:t>
            </w:r>
          </w:p>
          <w:p w14:paraId="240E0C26" w14:textId="77777777" w:rsidR="00AD0F48" w:rsidRPr="00AD0F48" w:rsidRDefault="00AD0F48" w:rsidP="00AD0F48">
            <w:pPr>
              <w:spacing w:after="160" w:line="259" w:lineRule="auto"/>
              <w:rPr>
                <w:b/>
              </w:rPr>
            </w:pPr>
          </w:p>
        </w:tc>
        <w:tc>
          <w:tcPr>
            <w:tcW w:w="1175" w:type="pct"/>
          </w:tcPr>
          <w:p w14:paraId="49F4E027" w14:textId="77777777" w:rsidR="00AD0F48" w:rsidRPr="00AD0F48" w:rsidRDefault="00AD0F48" w:rsidP="00AD0F48">
            <w:pPr>
              <w:spacing w:after="160" w:line="259" w:lineRule="auto"/>
            </w:pPr>
            <w:r w:rsidRPr="00AD0F48">
              <w:t>States have the flexibility to provide coverage of pre-release services for up to 90 days before the incarcerated individual’s expected date of release.</w:t>
            </w:r>
          </w:p>
        </w:tc>
        <w:tc>
          <w:tcPr>
            <w:tcW w:w="1296" w:type="pct"/>
          </w:tcPr>
          <w:p w14:paraId="2FBCE15C" w14:textId="671FE6AC" w:rsidR="00AD0F48" w:rsidRPr="00AD0F48" w:rsidRDefault="00AD0F48" w:rsidP="00AD0F48">
            <w:pPr>
              <w:spacing w:after="160" w:line="259" w:lineRule="auto"/>
              <w:rPr>
                <w:b/>
                <w:bCs/>
              </w:rPr>
            </w:pPr>
            <w:r w:rsidRPr="00AD0F48">
              <w:t xml:space="preserve">California will provide targeted Medicaid services for </w:t>
            </w:r>
            <w:r w:rsidR="006443C3">
              <w:t>up to</w:t>
            </w:r>
            <w:r w:rsidRPr="00AD0F48">
              <w:t xml:space="preserve"> 90 days prior to release.</w:t>
            </w:r>
          </w:p>
          <w:p w14:paraId="7C1E558B" w14:textId="77777777" w:rsidR="00AD0F48" w:rsidRPr="00AD0F48" w:rsidRDefault="00AD0F48" w:rsidP="00AD0F48">
            <w:pPr>
              <w:spacing w:after="160" w:line="259" w:lineRule="auto"/>
              <w:rPr>
                <w:b/>
                <w:bCs/>
              </w:rPr>
            </w:pPr>
          </w:p>
        </w:tc>
        <w:tc>
          <w:tcPr>
            <w:tcW w:w="1056" w:type="pct"/>
          </w:tcPr>
          <w:p w14:paraId="32C4AE82" w14:textId="77777777" w:rsidR="00AD0F48" w:rsidRPr="00AD0F48" w:rsidRDefault="00AD0F48" w:rsidP="00AD0F48">
            <w:pPr>
              <w:numPr>
                <w:ilvl w:val="0"/>
                <w:numId w:val="1"/>
              </w:numPr>
              <w:spacing w:after="160" w:line="259" w:lineRule="auto"/>
            </w:pPr>
          </w:p>
        </w:tc>
        <w:tc>
          <w:tcPr>
            <w:tcW w:w="841" w:type="pct"/>
          </w:tcPr>
          <w:p w14:paraId="3E677231" w14:textId="77777777" w:rsidR="00AD0F48" w:rsidRPr="00AD0F48" w:rsidRDefault="00AD0F48" w:rsidP="00AD0F48">
            <w:pPr>
              <w:numPr>
                <w:ilvl w:val="0"/>
                <w:numId w:val="1"/>
              </w:numPr>
              <w:spacing w:after="160" w:line="259" w:lineRule="auto"/>
            </w:pPr>
          </w:p>
        </w:tc>
      </w:tr>
      <w:tr w:rsidR="00AD0F48" w:rsidRPr="00AD0F48" w14:paraId="7630847D" w14:textId="77777777" w:rsidTr="006443C3">
        <w:tc>
          <w:tcPr>
            <w:tcW w:w="632" w:type="pct"/>
            <w:shd w:val="clear" w:color="auto" w:fill="E5C1E1"/>
          </w:tcPr>
          <w:p w14:paraId="5A29F685" w14:textId="77777777" w:rsidR="00AD0F48" w:rsidRPr="00AD0F48" w:rsidRDefault="00AD0F48" w:rsidP="00AD0F48">
            <w:pPr>
              <w:spacing w:after="160" w:line="259" w:lineRule="auto"/>
              <w:rPr>
                <w:b/>
              </w:rPr>
            </w:pPr>
            <w:r w:rsidRPr="00AD0F48">
              <w:rPr>
                <w:b/>
              </w:rPr>
              <w:lastRenderedPageBreak/>
              <w:t>Enrollment/</w:t>
            </w:r>
            <w:r w:rsidRPr="00AD0F48">
              <w:rPr>
                <w:b/>
              </w:rPr>
              <w:br/>
              <w:t>Suspension</w:t>
            </w:r>
          </w:p>
        </w:tc>
        <w:tc>
          <w:tcPr>
            <w:tcW w:w="1175" w:type="pct"/>
          </w:tcPr>
          <w:p w14:paraId="25D96012" w14:textId="22FA0940" w:rsidR="00AD0F48" w:rsidRPr="00AD0F48" w:rsidRDefault="00AD0F48" w:rsidP="00AD0F48">
            <w:pPr>
              <w:spacing w:after="160" w:line="259" w:lineRule="auto"/>
            </w:pPr>
            <w:r w:rsidRPr="00AD0F48">
              <w:t>States may not terminate Medicaid coverage upon entry into a correctional facility and must set up eligibility suspension processes.</w:t>
            </w:r>
          </w:p>
          <w:p w14:paraId="11D939A1" w14:textId="411A2494" w:rsidR="00AD0F48" w:rsidRPr="00AD0F48" w:rsidRDefault="00AD0F48" w:rsidP="00AD0F48">
            <w:pPr>
              <w:spacing w:after="160" w:line="259" w:lineRule="auto"/>
              <w:rPr>
                <w:bCs/>
              </w:rPr>
            </w:pPr>
            <w:r w:rsidRPr="00AD0F48">
              <w:rPr>
                <w:bCs/>
              </w:rPr>
              <w:t>States that do not have these pre-release eligibility and enrollment processes in place will be provided a two-year implementation glide path to either implement suspension processes or develop an alternative approach to ensure only pre-release services are provided during incarceration and full benefits are available as soon as possible upon release.</w:t>
            </w:r>
          </w:p>
          <w:p w14:paraId="55849254" w14:textId="77777777" w:rsidR="00AD0F48" w:rsidRPr="00AD0F48" w:rsidRDefault="00AD0F48" w:rsidP="00AD0F48">
            <w:pPr>
              <w:spacing w:after="160" w:line="259" w:lineRule="auto"/>
              <w:rPr>
                <w:bCs/>
              </w:rPr>
            </w:pPr>
            <w:r w:rsidRPr="00AD0F48">
              <w:rPr>
                <w:bCs/>
              </w:rPr>
              <w:t xml:space="preserve">For new enrollees who may have a short incarceration period (e.g., individuals who are in jail prior to </w:t>
            </w:r>
            <w:r w:rsidRPr="00AD0F48">
              <w:rPr>
                <w:bCs/>
              </w:rPr>
              <w:lastRenderedPageBreak/>
              <w:t>sentencing), CMS will permit correctional facilities to serve as presumptive eligibility-qualified entities to make presumptive eligibility determinations prior to a person’s release.</w:t>
            </w:r>
          </w:p>
        </w:tc>
        <w:tc>
          <w:tcPr>
            <w:tcW w:w="1296" w:type="pct"/>
          </w:tcPr>
          <w:p w14:paraId="59EE8D3C" w14:textId="77777777" w:rsidR="00AD0F48" w:rsidRPr="00AD0F48" w:rsidRDefault="00AD0F48" w:rsidP="00670EFE">
            <w:pPr>
              <w:spacing w:line="259" w:lineRule="auto"/>
              <w:rPr>
                <w:bCs/>
              </w:rPr>
            </w:pPr>
            <w:r w:rsidRPr="00AD0F48">
              <w:rPr>
                <w:bCs/>
              </w:rPr>
              <w:lastRenderedPageBreak/>
              <w:t>California enacted state law mandating:</w:t>
            </w:r>
          </w:p>
          <w:p w14:paraId="2FAD2624" w14:textId="77777777" w:rsidR="00AD0F48" w:rsidRPr="00AD0F48" w:rsidRDefault="00AD0F48" w:rsidP="00670EFE">
            <w:pPr>
              <w:numPr>
                <w:ilvl w:val="0"/>
                <w:numId w:val="1"/>
              </w:numPr>
              <w:spacing w:line="259" w:lineRule="auto"/>
              <w:rPr>
                <w:bCs/>
              </w:rPr>
            </w:pPr>
            <w:r w:rsidRPr="00AD0F48">
              <w:rPr>
                <w:bCs/>
              </w:rPr>
              <w:t xml:space="preserve">Suspension, not termination, for the duration of incarceration for both youth and adults.  </w:t>
            </w:r>
          </w:p>
          <w:p w14:paraId="438CAA7A" w14:textId="6A3CAB0A" w:rsidR="00AD0F48" w:rsidRPr="00670EFE" w:rsidRDefault="00AD0F48" w:rsidP="00670EFE">
            <w:pPr>
              <w:numPr>
                <w:ilvl w:val="0"/>
                <w:numId w:val="1"/>
              </w:numPr>
              <w:spacing w:line="259" w:lineRule="auto"/>
              <w:rPr>
                <w:bCs/>
              </w:rPr>
            </w:pPr>
            <w:r w:rsidRPr="00AD0F48">
              <w:rPr>
                <w:bCs/>
              </w:rPr>
              <w:t>Standardized pre-release Medicaid application processes across all correctional facilities.</w:t>
            </w:r>
            <w:r w:rsidR="00670EFE">
              <w:rPr>
                <w:bCs/>
              </w:rPr>
              <w:br/>
            </w:r>
          </w:p>
          <w:p w14:paraId="0674D0FB" w14:textId="2CBE999C" w:rsidR="00AD0F48" w:rsidRPr="00AD0F48" w:rsidRDefault="00AD0F48" w:rsidP="00AD0F48">
            <w:pPr>
              <w:spacing w:after="160" w:line="259" w:lineRule="auto"/>
              <w:rPr>
                <w:bCs/>
              </w:rPr>
            </w:pPr>
          </w:p>
        </w:tc>
        <w:tc>
          <w:tcPr>
            <w:tcW w:w="1056" w:type="pct"/>
          </w:tcPr>
          <w:p w14:paraId="4A81EBAC" w14:textId="77777777" w:rsidR="00AD0F48" w:rsidRPr="00AD0F48" w:rsidRDefault="00AD0F48" w:rsidP="00AD0F48">
            <w:pPr>
              <w:numPr>
                <w:ilvl w:val="0"/>
                <w:numId w:val="1"/>
              </w:numPr>
              <w:spacing w:after="160" w:line="259" w:lineRule="auto"/>
            </w:pPr>
          </w:p>
        </w:tc>
        <w:tc>
          <w:tcPr>
            <w:tcW w:w="841" w:type="pct"/>
          </w:tcPr>
          <w:p w14:paraId="753B120D" w14:textId="77777777" w:rsidR="00AD0F48" w:rsidRPr="00AD0F48" w:rsidRDefault="00AD0F48" w:rsidP="00AD0F48">
            <w:pPr>
              <w:numPr>
                <w:ilvl w:val="0"/>
                <w:numId w:val="1"/>
              </w:numPr>
              <w:spacing w:after="160" w:line="259" w:lineRule="auto"/>
            </w:pPr>
          </w:p>
        </w:tc>
      </w:tr>
      <w:tr w:rsidR="00AD0F48" w:rsidRPr="00AD0F48" w14:paraId="135B3F94" w14:textId="77777777" w:rsidTr="006443C3">
        <w:tc>
          <w:tcPr>
            <w:tcW w:w="632" w:type="pct"/>
            <w:shd w:val="clear" w:color="auto" w:fill="E5C1E1"/>
          </w:tcPr>
          <w:p w14:paraId="3E57B4B5" w14:textId="77777777" w:rsidR="00AD0F48" w:rsidRPr="00AD0F48" w:rsidRDefault="00AD0F48" w:rsidP="00AD0F48">
            <w:pPr>
              <w:spacing w:after="160" w:line="259" w:lineRule="auto"/>
              <w:rPr>
                <w:b/>
              </w:rPr>
            </w:pPr>
            <w:r w:rsidRPr="00AD0F48">
              <w:rPr>
                <w:b/>
              </w:rPr>
              <w:t>Implementation Plan</w:t>
            </w:r>
          </w:p>
        </w:tc>
        <w:tc>
          <w:tcPr>
            <w:tcW w:w="1175" w:type="pct"/>
          </w:tcPr>
          <w:p w14:paraId="45BC62FD" w14:textId="4F45ED16" w:rsidR="00AD0F48" w:rsidRPr="00AD0F48" w:rsidRDefault="00AD0F48" w:rsidP="00AD0F48">
            <w:pPr>
              <w:spacing w:after="160" w:line="259" w:lineRule="auto"/>
            </w:pPr>
            <w:r w:rsidRPr="00AD0F48">
              <w:t xml:space="preserve">States will be required to submit an implementation plan to CMS that describes their approach to implementing the demonstration, including timelines for meeting critical implementation milestones. </w:t>
            </w:r>
          </w:p>
          <w:p w14:paraId="11AC580A" w14:textId="77777777" w:rsidR="00670EFE" w:rsidRDefault="00AD0F48" w:rsidP="00670EFE">
            <w:pPr>
              <w:spacing w:line="259" w:lineRule="auto"/>
            </w:pPr>
            <w:r w:rsidRPr="00AD0F48">
              <w:t>Federal financing for pre-release services is contingent upon CMS approval of the implementation plan. Required implementation plan milestones focus on how the state will:</w:t>
            </w:r>
          </w:p>
          <w:p w14:paraId="3EA18C6C" w14:textId="77777777" w:rsidR="00670EFE" w:rsidRDefault="00AD0F48" w:rsidP="00670EFE">
            <w:pPr>
              <w:pStyle w:val="ListParagraph"/>
              <w:numPr>
                <w:ilvl w:val="0"/>
                <w:numId w:val="3"/>
              </w:numPr>
            </w:pPr>
            <w:r w:rsidRPr="00AD0F48">
              <w:lastRenderedPageBreak/>
              <w:t>Increase and maintain Medicaid coverage through application, renewal, and suspension (not termination) processes.</w:t>
            </w:r>
          </w:p>
          <w:p w14:paraId="0DB85E2C" w14:textId="1A475C03" w:rsidR="00AD0F48" w:rsidRPr="00AD0F48" w:rsidRDefault="00AD0F48" w:rsidP="00670EFE">
            <w:pPr>
              <w:pStyle w:val="ListParagraph"/>
              <w:numPr>
                <w:ilvl w:val="0"/>
                <w:numId w:val="3"/>
              </w:numPr>
            </w:pPr>
            <w:r w:rsidRPr="00670EFE">
              <w:rPr>
                <w:b/>
                <w:bCs/>
              </w:rPr>
              <w:t>Cover and ensure access to the minimum set of pre-release services</w:t>
            </w:r>
            <w:r w:rsidRPr="00AD0F48">
              <w:t> by setting up a process to identify individuals eligible for pre-release services, providing the minimum set of pre-release services, ensuring pre-release care managers have knowledge of community-based providers and services, and delivering quality healthcare services.</w:t>
            </w:r>
          </w:p>
          <w:p w14:paraId="7501725B" w14:textId="77777777" w:rsidR="00AD0F48" w:rsidRPr="00AD0F48" w:rsidRDefault="00AD0F48" w:rsidP="00670EFE">
            <w:pPr>
              <w:numPr>
                <w:ilvl w:val="0"/>
                <w:numId w:val="3"/>
              </w:numPr>
              <w:spacing w:line="259" w:lineRule="auto"/>
            </w:pPr>
            <w:r w:rsidRPr="00AD0F48">
              <w:rPr>
                <w:b/>
                <w:bCs/>
              </w:rPr>
              <w:t>Promote continuity of care </w:t>
            </w:r>
            <w:r w:rsidRPr="00AD0F48">
              <w:t xml:space="preserve">by setting up a person-centered care plan prior to release; facilitating timely access to post-release healthcare medications </w:t>
            </w:r>
            <w:r w:rsidRPr="00AD0F48">
              <w:lastRenderedPageBreak/>
              <w:t>and services; implementing processes, including contract modifications, if necessary, that reflect clear requirements for managed care plans; and ensuring pre-release case managers coordinate a warm handoff (a simple referral is not sufficient) with post-release case managers if they are not the same provider.</w:t>
            </w:r>
          </w:p>
          <w:p w14:paraId="538D0BFC" w14:textId="77777777" w:rsidR="00AD0F48" w:rsidRPr="00AD0F48" w:rsidRDefault="00AD0F48" w:rsidP="00306B97">
            <w:pPr>
              <w:numPr>
                <w:ilvl w:val="0"/>
                <w:numId w:val="3"/>
              </w:numPr>
              <w:spacing w:line="259" w:lineRule="auto"/>
            </w:pPr>
            <w:r w:rsidRPr="00AD0F48">
              <w:rPr>
                <w:b/>
                <w:bCs/>
              </w:rPr>
              <w:t>Connect to post-release services </w:t>
            </w:r>
            <w:r w:rsidRPr="00AD0F48">
              <w:t xml:space="preserve">by monitoring whether the individual received the services in the community as described in their care plan, including long-term services and supports and HRSNs such as </w:t>
            </w:r>
            <w:r w:rsidRPr="00AD0F48">
              <w:lastRenderedPageBreak/>
              <w:t>housing and employment supports.</w:t>
            </w:r>
          </w:p>
          <w:p w14:paraId="6511B75C" w14:textId="77777777" w:rsidR="00AD0F48" w:rsidRPr="00AD0F48" w:rsidRDefault="00AD0F48" w:rsidP="00AD0F48">
            <w:pPr>
              <w:numPr>
                <w:ilvl w:val="0"/>
                <w:numId w:val="3"/>
              </w:numPr>
              <w:spacing w:after="160" w:line="259" w:lineRule="auto"/>
            </w:pPr>
            <w:r w:rsidRPr="00AD0F48">
              <w:rPr>
                <w:b/>
                <w:bCs/>
              </w:rPr>
              <w:t>Ensure cross-system collaboration </w:t>
            </w:r>
            <w:r w:rsidRPr="00AD0F48">
              <w:t>by describing how the Medicaid agency and correctional facilities will confirm they are ready to ensure the provision of pre-release services; engaging stakeholders, including individuals who are incarcerated, probation departments, correctional facilities, providers, and community-based organizations; and monitoring the healthcare needs and services received through data sharing and monitoring.</w:t>
            </w:r>
          </w:p>
        </w:tc>
        <w:tc>
          <w:tcPr>
            <w:tcW w:w="1296" w:type="pct"/>
          </w:tcPr>
          <w:p w14:paraId="73B42514" w14:textId="4DE13BF6" w:rsidR="00AD0F48" w:rsidRPr="00AD0F48" w:rsidRDefault="00AD0F48" w:rsidP="00670EFE">
            <w:pPr>
              <w:spacing w:line="259" w:lineRule="auto"/>
            </w:pPr>
            <w:r w:rsidRPr="00AD0F48">
              <w:lastRenderedPageBreak/>
              <w:t>California is required to submit a</w:t>
            </w:r>
            <w:r w:rsidR="001B1221">
              <w:t>n</w:t>
            </w:r>
            <w:r w:rsidRPr="00AD0F48">
              <w:t xml:space="preserve"> implementation plan within 120 days of </w:t>
            </w:r>
            <w:r w:rsidR="004C7721">
              <w:t>d</w:t>
            </w:r>
            <w:r w:rsidRPr="00AD0F48">
              <w:t>emonstration approval to describe, at a minimum, the state’s approach to implementing the initiative, including timelines for meeting critical implementation stages or milestones, as applicable, to support successful implementation. The milestones outlined in the State Terms and Conditions (STCs) include:</w:t>
            </w:r>
          </w:p>
          <w:p w14:paraId="60FF563E" w14:textId="77777777" w:rsidR="00AD0F48" w:rsidRPr="00AD0F48" w:rsidRDefault="00AD0F48" w:rsidP="00670EFE">
            <w:pPr>
              <w:numPr>
                <w:ilvl w:val="0"/>
                <w:numId w:val="4"/>
              </w:numPr>
              <w:spacing w:line="259" w:lineRule="auto"/>
            </w:pPr>
            <w:r w:rsidRPr="00AD0F48">
              <w:rPr>
                <w:b/>
                <w:bCs/>
              </w:rPr>
              <w:t xml:space="preserve">Increasing coverage and ensuring continuity of coverage for </w:t>
            </w:r>
            <w:r w:rsidRPr="00AD0F48">
              <w:rPr>
                <w:b/>
                <w:bCs/>
              </w:rPr>
              <w:lastRenderedPageBreak/>
              <w:t>individuals who are incarcerated.</w:t>
            </w:r>
            <w:r w:rsidRPr="00AD0F48">
              <w:t xml:space="preserve"> Process to enroll, suspend, provide a Medicaid ID card/number in-hand.</w:t>
            </w:r>
          </w:p>
          <w:p w14:paraId="3E9C6A9B" w14:textId="77777777" w:rsidR="00AD0F48" w:rsidRPr="00AD0F48" w:rsidRDefault="00AD0F48" w:rsidP="00670EFE">
            <w:pPr>
              <w:numPr>
                <w:ilvl w:val="0"/>
                <w:numId w:val="4"/>
              </w:numPr>
              <w:spacing w:line="259" w:lineRule="auto"/>
            </w:pPr>
            <w:r w:rsidRPr="00AD0F48">
              <w:rPr>
                <w:b/>
                <w:bCs/>
              </w:rPr>
              <w:t>Covering and ensuring access to the expected minimum set of reentry services for individuals who are incarcerated to improve care transitions upon return to the community.</w:t>
            </w:r>
            <w:r w:rsidRPr="00AD0F48">
              <w:t> Screening process to identify individuals eligible for pre-release services, plan to ensure facilities will provide services, as clinically appropriate, plan for providers to have necessary training, and requirements for correctional facility providers who will deliver services and not be enrolled as Medicaid providers.</w:t>
            </w:r>
          </w:p>
          <w:p w14:paraId="11B28D3C" w14:textId="4208E379" w:rsidR="00AD0F48" w:rsidRPr="00AD0F48" w:rsidRDefault="00AD0F48" w:rsidP="00306B97">
            <w:pPr>
              <w:numPr>
                <w:ilvl w:val="0"/>
                <w:numId w:val="4"/>
              </w:numPr>
              <w:spacing w:line="259" w:lineRule="auto"/>
              <w:rPr>
                <w:i/>
                <w:iCs/>
              </w:rPr>
            </w:pPr>
            <w:r w:rsidRPr="00AD0F48">
              <w:rPr>
                <w:b/>
                <w:bCs/>
              </w:rPr>
              <w:lastRenderedPageBreak/>
              <w:t>Promoting continuity of care to ensure access to services both pre- and post-release.</w:t>
            </w:r>
            <w:r w:rsidRPr="00AD0F48">
              <w:rPr>
                <w:i/>
                <w:iCs/>
              </w:rPr>
              <w:t xml:space="preserve"> </w:t>
            </w:r>
            <w:r w:rsidRPr="00AD0F48">
              <w:t>Plan for providing person-centered care needs plan for post-release, process for promoting collaboration between pre</w:t>
            </w:r>
            <w:r w:rsidR="004C7721">
              <w:t>-</w:t>
            </w:r>
            <w:r w:rsidRPr="00AD0F48">
              <w:t xml:space="preserve"> and post-release care managers, and role of managed care plans.</w:t>
            </w:r>
          </w:p>
          <w:p w14:paraId="09E0F0DF" w14:textId="77777777" w:rsidR="00AD0F48" w:rsidRPr="00AD0F48" w:rsidRDefault="00AD0F48" w:rsidP="00306B97">
            <w:pPr>
              <w:numPr>
                <w:ilvl w:val="0"/>
                <w:numId w:val="4"/>
              </w:numPr>
              <w:spacing w:line="259" w:lineRule="auto"/>
              <w:rPr>
                <w:i/>
                <w:iCs/>
              </w:rPr>
            </w:pPr>
            <w:r w:rsidRPr="00AD0F48">
              <w:rPr>
                <w:b/>
                <w:bCs/>
              </w:rPr>
              <w:t>Connecting to services available post-release to meet the needs of the reentering population.</w:t>
            </w:r>
            <w:r w:rsidRPr="00AD0F48">
              <w:t> Process for monitoring the delivery of post-release services.</w:t>
            </w:r>
          </w:p>
          <w:p w14:paraId="158545B9" w14:textId="77777777" w:rsidR="00AD0F48" w:rsidRPr="00AD0F48" w:rsidRDefault="00AD0F48" w:rsidP="00AD0F48">
            <w:pPr>
              <w:numPr>
                <w:ilvl w:val="0"/>
                <w:numId w:val="4"/>
              </w:numPr>
              <w:spacing w:after="160" w:line="259" w:lineRule="auto"/>
              <w:rPr>
                <w:i/>
                <w:iCs/>
              </w:rPr>
            </w:pPr>
            <w:r w:rsidRPr="00AD0F48">
              <w:rPr>
                <w:b/>
                <w:bCs/>
              </w:rPr>
              <w:t>Ensuring cross-system collaboration.</w:t>
            </w:r>
            <w:r w:rsidRPr="00AD0F48">
              <w:t> Process for how correctional facilities will facilitate communication and access to community-based providers and managed care plans.</w:t>
            </w:r>
          </w:p>
          <w:p w14:paraId="34D09237" w14:textId="77777777" w:rsidR="00AD0F48" w:rsidRPr="00AD0F48" w:rsidRDefault="00AD0F48" w:rsidP="00AD0F48">
            <w:pPr>
              <w:spacing w:after="160" w:line="259" w:lineRule="auto"/>
              <w:rPr>
                <w:b/>
                <w:bCs/>
              </w:rPr>
            </w:pPr>
          </w:p>
        </w:tc>
        <w:tc>
          <w:tcPr>
            <w:tcW w:w="1056" w:type="pct"/>
          </w:tcPr>
          <w:p w14:paraId="408610D0" w14:textId="77777777" w:rsidR="00AD0F48" w:rsidRPr="00AD0F48" w:rsidRDefault="00AD0F48" w:rsidP="00AD0F48">
            <w:pPr>
              <w:numPr>
                <w:ilvl w:val="0"/>
                <w:numId w:val="1"/>
              </w:numPr>
              <w:spacing w:after="160" w:line="259" w:lineRule="auto"/>
            </w:pPr>
          </w:p>
        </w:tc>
        <w:tc>
          <w:tcPr>
            <w:tcW w:w="841" w:type="pct"/>
          </w:tcPr>
          <w:p w14:paraId="723FC451" w14:textId="77777777" w:rsidR="00AD0F48" w:rsidRPr="00AD0F48" w:rsidRDefault="00AD0F48" w:rsidP="00AD0F48">
            <w:pPr>
              <w:numPr>
                <w:ilvl w:val="0"/>
                <w:numId w:val="1"/>
              </w:numPr>
              <w:spacing w:after="160" w:line="259" w:lineRule="auto"/>
            </w:pPr>
          </w:p>
        </w:tc>
      </w:tr>
      <w:tr w:rsidR="00AD0F48" w:rsidRPr="00AD0F48" w14:paraId="091537B5" w14:textId="77777777" w:rsidTr="006443C3">
        <w:tc>
          <w:tcPr>
            <w:tcW w:w="632" w:type="pct"/>
            <w:shd w:val="clear" w:color="auto" w:fill="E5C1E1"/>
          </w:tcPr>
          <w:p w14:paraId="2EA2D6D3" w14:textId="77777777" w:rsidR="00AD0F48" w:rsidRPr="00AD0F48" w:rsidRDefault="00AD0F48" w:rsidP="00AD0F48">
            <w:pPr>
              <w:spacing w:after="160" w:line="259" w:lineRule="auto"/>
              <w:rPr>
                <w:b/>
              </w:rPr>
            </w:pPr>
            <w:r w:rsidRPr="00AD0F48">
              <w:rPr>
                <w:b/>
              </w:rPr>
              <w:lastRenderedPageBreak/>
              <w:t>Reinvestment Requirements</w:t>
            </w:r>
          </w:p>
        </w:tc>
        <w:tc>
          <w:tcPr>
            <w:tcW w:w="1175" w:type="pct"/>
          </w:tcPr>
          <w:p w14:paraId="12FAFC71" w14:textId="2B6A380C" w:rsidR="00AD0F48" w:rsidRPr="00AD0F48" w:rsidRDefault="00AD0F48" w:rsidP="00AD0F48">
            <w:pPr>
              <w:spacing w:after="160" w:line="259" w:lineRule="auto"/>
            </w:pPr>
            <w:r w:rsidRPr="00AD0F48">
              <w:t xml:space="preserve">As a condition of </w:t>
            </w:r>
            <w:r w:rsidR="001B1221">
              <w:t>approval</w:t>
            </w:r>
            <w:r w:rsidRPr="00AD0F48">
              <w:t>, CMS is requiring states to reinvest the total amount of federal matching dollars that replace state and/or local funding for services that are currently provided in carceral healthcare settings.</w:t>
            </w:r>
          </w:p>
          <w:p w14:paraId="12BC1AD4" w14:textId="79DCF793" w:rsidR="00AD0F48" w:rsidRPr="00AD0F48" w:rsidRDefault="00AD0F48" w:rsidP="00AD0F48">
            <w:pPr>
              <w:spacing w:after="160" w:line="259" w:lineRule="auto"/>
              <w:rPr>
                <w:bCs/>
              </w:rPr>
            </w:pPr>
            <w:r w:rsidRPr="00AD0F48">
              <w:rPr>
                <w:bCs/>
              </w:rPr>
              <w:t>As part of the demonstration’s implementation plan, states will need to submit a reinvestment plan that describes how funds that replace currently expended state or local dollars will be reinvested.</w:t>
            </w:r>
          </w:p>
          <w:p w14:paraId="117AB89C" w14:textId="5F271852" w:rsidR="00AD0F48" w:rsidRPr="00AD0F48" w:rsidRDefault="00AD0F48" w:rsidP="00AD0F48">
            <w:pPr>
              <w:spacing w:after="160" w:line="259" w:lineRule="auto"/>
              <w:rPr>
                <w:bCs/>
              </w:rPr>
            </w:pPr>
            <w:r w:rsidRPr="00AD0F48">
              <w:rPr>
                <w:bCs/>
              </w:rPr>
              <w:t xml:space="preserve">Reinvestments that are focused on improving community-based physical and behavioral health services, health information technology and data sharing, and </w:t>
            </w:r>
            <w:r w:rsidRPr="00AD0F48">
              <w:rPr>
                <w:bCs/>
              </w:rPr>
              <w:lastRenderedPageBreak/>
              <w:t>community-based provider capacity are all allowable.</w:t>
            </w:r>
          </w:p>
          <w:p w14:paraId="6D891D47" w14:textId="724ED3CF" w:rsidR="00AD0F48" w:rsidRPr="00AD0F48" w:rsidRDefault="00AD0F48" w:rsidP="00AD0F48">
            <w:pPr>
              <w:spacing w:after="160" w:line="259" w:lineRule="auto"/>
              <w:rPr>
                <w:bCs/>
              </w:rPr>
            </w:pPr>
            <w:r w:rsidRPr="00AD0F48">
              <w:rPr>
                <w:bCs/>
              </w:rPr>
              <w:t>The amount a state pays to cover new, enhanced, or expanded pre-release services authorized under the demonstration may also count toward the state’s reinvestment obligation.</w:t>
            </w:r>
          </w:p>
          <w:p w14:paraId="40350CDA" w14:textId="77777777" w:rsidR="00AD0F48" w:rsidRPr="00AD0F48" w:rsidRDefault="00AD0F48" w:rsidP="00AD0F48">
            <w:pPr>
              <w:spacing w:after="160" w:line="259" w:lineRule="auto"/>
              <w:rPr>
                <w:bCs/>
              </w:rPr>
            </w:pPr>
            <w:r w:rsidRPr="00AD0F48">
              <w:rPr>
                <w:bCs/>
              </w:rPr>
              <w:t>CMS will not approve a reinvestment plan under which funds would be used to build prisons, jails, or other carceral facilities, or to pay for prison- or jail-related improvements other than those for direct and primary use in meeting the healthcare needs of individuals who are incarcerated.</w:t>
            </w:r>
          </w:p>
        </w:tc>
        <w:tc>
          <w:tcPr>
            <w:tcW w:w="1296" w:type="pct"/>
          </w:tcPr>
          <w:p w14:paraId="4E3ADBF0" w14:textId="24FA7A9A" w:rsidR="00AD0F48" w:rsidRPr="00AD0F48" w:rsidRDefault="00AD0F48" w:rsidP="00AD0F48">
            <w:pPr>
              <w:spacing w:after="160" w:line="259" w:lineRule="auto"/>
            </w:pPr>
            <w:r w:rsidRPr="00AD0F48">
              <w:lastRenderedPageBreak/>
              <w:t xml:space="preserve">California’s reinvestment plan will define (1) required reinvestment over the term of the demonstration, based on an assessment of projected expenditures for services currently provided in carceral settings that will become </w:t>
            </w:r>
            <w:r w:rsidR="001B1221">
              <w:t>demonstration</w:t>
            </w:r>
            <w:r w:rsidRPr="00AD0F48">
              <w:t xml:space="preserve"> services and, (2) uses of reinvestment dollars.</w:t>
            </w:r>
          </w:p>
          <w:p w14:paraId="431470BC" w14:textId="77777777" w:rsidR="00AD0F48" w:rsidRPr="00AD0F48" w:rsidRDefault="00AD0F48" w:rsidP="00AD0F48">
            <w:pPr>
              <w:spacing w:after="160" w:line="259" w:lineRule="auto"/>
            </w:pPr>
          </w:p>
          <w:p w14:paraId="0235C161" w14:textId="77777777" w:rsidR="00AD0F48" w:rsidRPr="00AD0F48" w:rsidRDefault="00AD0F48" w:rsidP="00AD0F48">
            <w:pPr>
              <w:spacing w:after="160" w:line="259" w:lineRule="auto"/>
            </w:pPr>
          </w:p>
        </w:tc>
        <w:tc>
          <w:tcPr>
            <w:tcW w:w="1056" w:type="pct"/>
          </w:tcPr>
          <w:p w14:paraId="63485AFC" w14:textId="77777777" w:rsidR="00AD0F48" w:rsidRPr="00AD0F48" w:rsidRDefault="00AD0F48" w:rsidP="00AD0F48">
            <w:pPr>
              <w:numPr>
                <w:ilvl w:val="0"/>
                <w:numId w:val="1"/>
              </w:numPr>
              <w:spacing w:after="160" w:line="259" w:lineRule="auto"/>
            </w:pPr>
          </w:p>
        </w:tc>
        <w:tc>
          <w:tcPr>
            <w:tcW w:w="841" w:type="pct"/>
          </w:tcPr>
          <w:p w14:paraId="69D770F4" w14:textId="77777777" w:rsidR="00AD0F48" w:rsidRPr="00AD0F48" w:rsidRDefault="00AD0F48" w:rsidP="00AD0F48">
            <w:pPr>
              <w:numPr>
                <w:ilvl w:val="0"/>
                <w:numId w:val="1"/>
              </w:numPr>
              <w:spacing w:after="160" w:line="259" w:lineRule="auto"/>
            </w:pPr>
          </w:p>
        </w:tc>
      </w:tr>
      <w:tr w:rsidR="00AD0F48" w:rsidRPr="00AD0F48" w14:paraId="29F14916" w14:textId="77777777" w:rsidTr="006443C3">
        <w:tc>
          <w:tcPr>
            <w:tcW w:w="632" w:type="pct"/>
            <w:shd w:val="clear" w:color="auto" w:fill="E5C1E1"/>
          </w:tcPr>
          <w:p w14:paraId="0E06BFEC" w14:textId="77777777" w:rsidR="00AD0F48" w:rsidRPr="00AD0F48" w:rsidRDefault="00AD0F48" w:rsidP="00AD0F48">
            <w:pPr>
              <w:spacing w:after="160" w:line="259" w:lineRule="auto"/>
              <w:rPr>
                <w:b/>
              </w:rPr>
            </w:pPr>
            <w:r w:rsidRPr="00AD0F48">
              <w:rPr>
                <w:b/>
              </w:rPr>
              <w:lastRenderedPageBreak/>
              <w:t>Capacity Building Funds</w:t>
            </w:r>
          </w:p>
        </w:tc>
        <w:tc>
          <w:tcPr>
            <w:tcW w:w="1175" w:type="pct"/>
          </w:tcPr>
          <w:p w14:paraId="1DEA0715" w14:textId="47544D3F" w:rsidR="00AD0F48" w:rsidRPr="00AD0F48" w:rsidRDefault="00AD0F48" w:rsidP="00AD0F48">
            <w:pPr>
              <w:spacing w:after="160" w:line="259" w:lineRule="auto"/>
              <w:rPr>
                <w:bCs/>
              </w:rPr>
            </w:pPr>
            <w:r w:rsidRPr="00AD0F48">
              <w:rPr>
                <w:bCs/>
              </w:rPr>
              <w:t xml:space="preserve">CMS will consider state requests for time-limited financing for certain new expenditures that support implementation of the </w:t>
            </w:r>
            <w:r w:rsidR="001B1221">
              <w:rPr>
                <w:bCs/>
              </w:rPr>
              <w:t>demonstration.</w:t>
            </w:r>
            <w:r w:rsidRPr="00AD0F48">
              <w:rPr>
                <w:bCs/>
              </w:rPr>
              <w:t xml:space="preserve"> States that did not include a request for capacity building funds in their initial application may do so without submitting an amendment; states should communicate their proposed approach to capacity building as part of demonstration stakeholder engagement processes. </w:t>
            </w:r>
          </w:p>
          <w:p w14:paraId="274AEFA6" w14:textId="77777777" w:rsidR="00670EFE" w:rsidRDefault="00AD0F48" w:rsidP="00670EFE">
            <w:pPr>
              <w:spacing w:line="259" w:lineRule="auto"/>
              <w:rPr>
                <w:bCs/>
              </w:rPr>
            </w:pPr>
            <w:r w:rsidRPr="00AD0F48">
              <w:rPr>
                <w:bCs/>
              </w:rPr>
              <w:t>Allowable capacity-building activities include</w:t>
            </w:r>
            <w:r w:rsidR="00670EFE">
              <w:rPr>
                <w:bCs/>
              </w:rPr>
              <w:t>:</w:t>
            </w:r>
          </w:p>
          <w:p w14:paraId="337A1165" w14:textId="54C62049" w:rsidR="00670EFE" w:rsidRDefault="00670EFE" w:rsidP="00670EFE">
            <w:pPr>
              <w:pStyle w:val="ListParagraph"/>
              <w:numPr>
                <w:ilvl w:val="0"/>
                <w:numId w:val="1"/>
              </w:numPr>
              <w:rPr>
                <w:bCs/>
              </w:rPr>
            </w:pPr>
            <w:r>
              <w:rPr>
                <w:bCs/>
              </w:rPr>
              <w:t>The</w:t>
            </w:r>
            <w:r w:rsidR="00AD0F48" w:rsidRPr="00670EFE">
              <w:rPr>
                <w:bCs/>
              </w:rPr>
              <w:t xml:space="preserve"> development of new business and operational practices related to health </w:t>
            </w:r>
            <w:r w:rsidR="00AD0F48" w:rsidRPr="00670EFE">
              <w:rPr>
                <w:bCs/>
              </w:rPr>
              <w:lastRenderedPageBreak/>
              <w:t>information technology (IT) systems</w:t>
            </w:r>
            <w:r w:rsidR="00477968">
              <w:rPr>
                <w:bCs/>
              </w:rPr>
              <w:t>.</w:t>
            </w:r>
          </w:p>
          <w:p w14:paraId="4B292FB8" w14:textId="326E0020" w:rsidR="00670EFE" w:rsidRDefault="00670EFE" w:rsidP="00670EFE">
            <w:pPr>
              <w:pStyle w:val="ListParagraph"/>
              <w:numPr>
                <w:ilvl w:val="0"/>
                <w:numId w:val="1"/>
              </w:numPr>
              <w:rPr>
                <w:bCs/>
              </w:rPr>
            </w:pPr>
            <w:r>
              <w:rPr>
                <w:bCs/>
              </w:rPr>
              <w:t>T</w:t>
            </w:r>
            <w:r w:rsidR="00AD0F48" w:rsidRPr="00670EFE">
              <w:rPr>
                <w:bCs/>
              </w:rPr>
              <w:t>he hiring and training of staff to assist with implementing the initiative</w:t>
            </w:r>
            <w:r w:rsidR="00477968">
              <w:rPr>
                <w:bCs/>
              </w:rPr>
              <w:t>.</w:t>
            </w:r>
            <w:r w:rsidR="00AD0F48" w:rsidRPr="00670EFE">
              <w:rPr>
                <w:bCs/>
              </w:rPr>
              <w:t xml:space="preserve"> </w:t>
            </w:r>
          </w:p>
          <w:p w14:paraId="361E8406" w14:textId="72AE07DA" w:rsidR="00AD0F48" w:rsidRPr="00670EFE" w:rsidRDefault="00670EFE" w:rsidP="00670EFE">
            <w:pPr>
              <w:pStyle w:val="ListParagraph"/>
              <w:numPr>
                <w:ilvl w:val="0"/>
                <w:numId w:val="1"/>
              </w:numPr>
              <w:rPr>
                <w:bCs/>
              </w:rPr>
            </w:pPr>
            <w:r>
              <w:rPr>
                <w:bCs/>
              </w:rPr>
              <w:t>O</w:t>
            </w:r>
            <w:r w:rsidR="00AD0F48" w:rsidRPr="00670EFE">
              <w:rPr>
                <w:bCs/>
              </w:rPr>
              <w:t>utreach, education, and stakeholder convening to advance collaboration across the Medicaid agency, correctional facilities, providers, managed care plans, and community-based organizations, among others.</w:t>
            </w:r>
          </w:p>
        </w:tc>
        <w:tc>
          <w:tcPr>
            <w:tcW w:w="1296" w:type="pct"/>
          </w:tcPr>
          <w:p w14:paraId="4BBBBA63" w14:textId="1DBEAFB3" w:rsidR="00AD0F48" w:rsidRPr="00AD0F48" w:rsidRDefault="00AD0F48" w:rsidP="00AD0F48">
            <w:pPr>
              <w:spacing w:after="160" w:line="259" w:lineRule="auto"/>
            </w:pPr>
            <w:r w:rsidRPr="00AD0F48">
              <w:lastRenderedPageBreak/>
              <w:t xml:space="preserve">In order to support capacity development and planning efforts across prisons, county jails, youth correctional facilities, probation offices, county behavioral health agencies, community-based providers, and other entities that will enable implementation of the </w:t>
            </w:r>
            <w:r w:rsidR="001B1221">
              <w:t>demonstration</w:t>
            </w:r>
            <w:r w:rsidRPr="00AD0F48">
              <w:t>, CMS approved $410 million capacity building funds, referred to as Providing Access and Transforming Health (PATH) funding. This funding is intended to support eligible entities</w:t>
            </w:r>
            <w:r w:rsidRPr="00AD0F48">
              <w:rPr>
                <w:b/>
              </w:rPr>
              <w:t xml:space="preserve"> </w:t>
            </w:r>
            <w:r w:rsidRPr="00AD0F48">
              <w:t>as they stand-up processes, protocols, and IT system modifications that are necessary to implement or modify processes to support the provision of reentry services.</w:t>
            </w:r>
          </w:p>
        </w:tc>
        <w:tc>
          <w:tcPr>
            <w:tcW w:w="1056" w:type="pct"/>
          </w:tcPr>
          <w:p w14:paraId="7BEA4A7E" w14:textId="77777777" w:rsidR="00AD0F48" w:rsidRPr="00AD0F48" w:rsidRDefault="00AD0F48" w:rsidP="00AD0F48">
            <w:pPr>
              <w:numPr>
                <w:ilvl w:val="0"/>
                <w:numId w:val="1"/>
              </w:numPr>
              <w:spacing w:after="160" w:line="259" w:lineRule="auto"/>
            </w:pPr>
          </w:p>
        </w:tc>
        <w:tc>
          <w:tcPr>
            <w:tcW w:w="841" w:type="pct"/>
          </w:tcPr>
          <w:p w14:paraId="6638BE81" w14:textId="77777777" w:rsidR="00AD0F48" w:rsidRPr="00AD0F48" w:rsidRDefault="00AD0F48" w:rsidP="00AD0F48">
            <w:pPr>
              <w:numPr>
                <w:ilvl w:val="0"/>
                <w:numId w:val="1"/>
              </w:numPr>
              <w:spacing w:after="160" w:line="259" w:lineRule="auto"/>
            </w:pPr>
          </w:p>
        </w:tc>
      </w:tr>
      <w:bookmarkEnd w:id="0"/>
    </w:tbl>
    <w:p w14:paraId="6B6D993D" w14:textId="77777777" w:rsidR="00AD0F48" w:rsidRPr="00AD0F48" w:rsidRDefault="00AD0F48" w:rsidP="00AD0F48"/>
    <w:p w14:paraId="03CE8DCB" w14:textId="77777777" w:rsidR="00F46278" w:rsidRPr="00AD0F48" w:rsidRDefault="00105F42" w:rsidP="00AD0F48"/>
    <w:sectPr w:rsidR="00F46278" w:rsidRPr="00AD0F48" w:rsidSect="001A3FAB">
      <w:headerReference w:type="default" r:id="rId11"/>
      <w:footerReference w:type="default" r:id="rId12"/>
      <w:headerReference w:type="first" r:id="rId13"/>
      <w:footerReference w:type="first" r:id="rId14"/>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32BCE" w14:textId="77777777" w:rsidR="0062769B" w:rsidRDefault="0062769B" w:rsidP="0062769B">
      <w:pPr>
        <w:spacing w:after="0" w:line="240" w:lineRule="auto"/>
      </w:pPr>
      <w:r>
        <w:separator/>
      </w:r>
    </w:p>
  </w:endnote>
  <w:endnote w:type="continuationSeparator" w:id="0">
    <w:p w14:paraId="497FF3F5" w14:textId="77777777" w:rsidR="0062769B" w:rsidRDefault="0062769B" w:rsidP="0062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4688980"/>
      <w:docPartObj>
        <w:docPartGallery w:val="Page Numbers (Bottom of Page)"/>
        <w:docPartUnique/>
      </w:docPartObj>
    </w:sdtPr>
    <w:sdtEndPr>
      <w:rPr>
        <w:noProof/>
      </w:rPr>
    </w:sdtEndPr>
    <w:sdtContent>
      <w:p w14:paraId="4B3F64A2" w14:textId="77777777" w:rsidR="00A07F25" w:rsidRDefault="00A07F25" w:rsidP="00A07F25">
        <w:pPr>
          <w:pStyle w:val="Footer"/>
          <w:ind w:left="9000" w:firstLine="3960"/>
          <w:jc w:val="right"/>
        </w:pPr>
      </w:p>
      <w:p w14:paraId="61E27019" w14:textId="325F3214" w:rsidR="00A07F25" w:rsidRDefault="00A109F6" w:rsidP="00A07F25">
        <w:pPr>
          <w:pStyle w:val="Footer"/>
          <w:ind w:left="9000" w:firstLine="3960"/>
          <w:jc w:val="center"/>
          <w:rPr>
            <w:noProof/>
          </w:rP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5C1D1" w14:textId="77777777" w:rsidR="009B48C2" w:rsidRDefault="00A07F25" w:rsidP="009B48C2">
    <w:pPr>
      <w:pStyle w:val="Footer"/>
      <w:jc w:val="center"/>
      <w:rPr>
        <w:b/>
        <w:i/>
        <w:color w:val="000000"/>
      </w:rPr>
    </w:pPr>
    <w:r>
      <w:rPr>
        <w:b/>
        <w:i/>
        <w:color w:val="000000"/>
      </w:rPr>
      <w:t xml:space="preserve">Support for this toolkit was provided by the Robert Wood Johnson Foundation. </w:t>
    </w:r>
  </w:p>
  <w:p w14:paraId="5CFA926E" w14:textId="53538803" w:rsidR="00FF10F0" w:rsidRDefault="00A07F25" w:rsidP="009B48C2">
    <w:pPr>
      <w:pStyle w:val="Footer"/>
      <w:jc w:val="center"/>
    </w:pPr>
    <w:r>
      <w:rPr>
        <w:b/>
        <w:i/>
        <w:color w:val="000000"/>
      </w:rPr>
      <w:t>The views expressed here do not necessarily reflect the views of the Foundation.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25753" w14:textId="77777777" w:rsidR="0062769B" w:rsidRDefault="0062769B" w:rsidP="0062769B">
      <w:pPr>
        <w:spacing w:after="0" w:line="240" w:lineRule="auto"/>
      </w:pPr>
      <w:r>
        <w:separator/>
      </w:r>
    </w:p>
  </w:footnote>
  <w:footnote w:type="continuationSeparator" w:id="0">
    <w:p w14:paraId="6627EFF0" w14:textId="77777777" w:rsidR="0062769B" w:rsidRDefault="0062769B" w:rsidP="0062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D7291" w14:textId="77777777" w:rsidR="0062769B" w:rsidRDefault="0062769B">
    <w:pPr>
      <w:pStyle w:val="Header"/>
    </w:pPr>
    <w:r>
      <w:rPr>
        <w:noProof/>
      </w:rPr>
      <w:drawing>
        <wp:anchor distT="0" distB="0" distL="114300" distR="114300" simplePos="0" relativeHeight="251658240" behindDoc="1" locked="0" layoutInCell="1" allowOverlap="1" wp14:anchorId="235A4627" wp14:editId="59421032">
          <wp:simplePos x="0" y="0"/>
          <wp:positionH relativeFrom="page">
            <wp:align>left</wp:align>
          </wp:positionH>
          <wp:positionV relativeFrom="paragraph">
            <wp:posOffset>-457200</wp:posOffset>
          </wp:positionV>
          <wp:extent cx="10039350" cy="1901825"/>
          <wp:effectExtent l="0" t="0" r="0" b="3175"/>
          <wp:wrapTight wrapText="bothSides">
            <wp:wrapPolygon edited="0">
              <wp:start x="0" y="0"/>
              <wp:lineTo x="0" y="21420"/>
              <wp:lineTo x="21559" y="21420"/>
              <wp:lineTo x="2155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dated SHVS_letterhead banner landscape.jpg"/>
                  <pic:cNvPicPr/>
                </pic:nvPicPr>
                <pic:blipFill>
                  <a:blip r:embed="rId1">
                    <a:extLst>
                      <a:ext uri="{28A0092B-C50C-407E-A947-70E740481C1C}">
                        <a14:useLocalDpi xmlns:a14="http://schemas.microsoft.com/office/drawing/2010/main" val="0"/>
                      </a:ext>
                    </a:extLst>
                  </a:blip>
                  <a:stretch>
                    <a:fillRect/>
                  </a:stretch>
                </pic:blipFill>
                <pic:spPr>
                  <a:xfrm>
                    <a:off x="0" y="0"/>
                    <a:ext cx="10059565" cy="190557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5611C" w14:textId="72B069DD" w:rsidR="001A3FAB" w:rsidRDefault="001A3FAB">
    <w:pPr>
      <w:pStyle w:val="Header"/>
    </w:pPr>
    <w:r>
      <w:rPr>
        <w:noProof/>
      </w:rPr>
      <w:drawing>
        <wp:anchor distT="0" distB="0" distL="114300" distR="114300" simplePos="0" relativeHeight="251660288" behindDoc="1" locked="0" layoutInCell="1" allowOverlap="1" wp14:anchorId="74DA2883" wp14:editId="3480F041">
          <wp:simplePos x="0" y="0"/>
          <wp:positionH relativeFrom="page">
            <wp:align>left</wp:align>
          </wp:positionH>
          <wp:positionV relativeFrom="paragraph">
            <wp:posOffset>-457200</wp:posOffset>
          </wp:positionV>
          <wp:extent cx="10039350" cy="1901825"/>
          <wp:effectExtent l="0" t="0" r="0" b="3175"/>
          <wp:wrapTight wrapText="bothSides">
            <wp:wrapPolygon edited="0">
              <wp:start x="0" y="0"/>
              <wp:lineTo x="0" y="21420"/>
              <wp:lineTo x="21559" y="21420"/>
              <wp:lineTo x="2155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dated SHVS_letterhead banner landscape.jpg"/>
                  <pic:cNvPicPr/>
                </pic:nvPicPr>
                <pic:blipFill>
                  <a:blip r:embed="rId1">
                    <a:extLst>
                      <a:ext uri="{28A0092B-C50C-407E-A947-70E740481C1C}">
                        <a14:useLocalDpi xmlns:a14="http://schemas.microsoft.com/office/drawing/2010/main" val="0"/>
                      </a:ext>
                    </a:extLst>
                  </a:blip>
                  <a:stretch>
                    <a:fillRect/>
                  </a:stretch>
                </pic:blipFill>
                <pic:spPr>
                  <a:xfrm>
                    <a:off x="0" y="0"/>
                    <a:ext cx="10045896" cy="19030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30125"/>
    <w:multiLevelType w:val="hybridMultilevel"/>
    <w:tmpl w:val="02E44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730F61"/>
    <w:multiLevelType w:val="hybridMultilevel"/>
    <w:tmpl w:val="01B019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13C176DF"/>
    <w:multiLevelType w:val="hybridMultilevel"/>
    <w:tmpl w:val="23C8F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96542"/>
    <w:multiLevelType w:val="hybridMultilevel"/>
    <w:tmpl w:val="C85AD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BF2863"/>
    <w:multiLevelType w:val="hybridMultilevel"/>
    <w:tmpl w:val="08D4EB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4B933A1"/>
    <w:multiLevelType w:val="hybridMultilevel"/>
    <w:tmpl w:val="04FC73D4"/>
    <w:lvl w:ilvl="0" w:tplc="303CE6E6">
      <w:start w:val="1"/>
      <w:numFmt w:val="decimal"/>
      <w:lvlText w:val="%1."/>
      <w:lvlJc w:val="left"/>
      <w:pPr>
        <w:ind w:left="360" w:hanging="360"/>
      </w:pPr>
      <w:rPr>
        <w:rFonts w:hint="default"/>
        <w:i w:val="0"/>
        <w:i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DF675A0"/>
    <w:multiLevelType w:val="hybridMultilevel"/>
    <w:tmpl w:val="9DCC1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A71F3E"/>
    <w:multiLevelType w:val="hybridMultilevel"/>
    <w:tmpl w:val="38CC7C2E"/>
    <w:lvl w:ilvl="0" w:tplc="7FDA72FE">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7"/>
  </w:num>
  <w:num w:numId="4">
    <w:abstractNumId w:val="5"/>
  </w:num>
  <w:num w:numId="5">
    <w:abstractNumId w:val="0"/>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Manatt||1~402153886||2~3||3~Comparison Tool: SMDL California Waiver and STATE Waiver Features_5.19.23||5~MSAVUTO||6~MSAVUTO||7~WORDX||8~DRAFT||10~5/19/2023 8:05:59 PM||11~5/19/2023 4:32:52 PM||12~365||13~204814||14~False||15~False||17~public||18~MSAVUTO||19~MSAVUTO||21~True||22~True||23~False||25~45540||26~054||33~MHSCONSULT||60~Princeton University||61~Justice-Involved Affinity Group||68~MHS Consult||74~Savuto, Michelle||75~Savuto, Michelle||76~WORD 2007||77~Draft||79~Savuto, Michelle||80~Savuto, Michelle||82~docx||85~5/19/2023 8:06:01 PM||99~1/1/0001 5:00:00 AM||102~False||106~C:\Users\msavuto\AppData\Roaming\iManage\Work\Recent\Princeton University _ Justice-Involved Affinity Group _ 45540-054\Comparison Tool_ SMDL California Waiver and STATE Waiver Features_5.19.23(402153886.3).docx||107~1/1/1753 12:00:00 AM||109~5/19/2023 8:06:01 PM||112~1/1/0001 12:00:00 AM||113~5/19/2023 4:35:53 PM||114~5/19/2023 8:06:13 PM||118~False||124~False||"/>
    <w:docVar w:name="zzmp10NoTrailerPromptID" w:val="MANATT.402153886.3"/>
  </w:docVars>
  <w:rsids>
    <w:rsidRoot w:val="0062769B"/>
    <w:rsid w:val="000C02C2"/>
    <w:rsid w:val="00115E00"/>
    <w:rsid w:val="00196A5A"/>
    <w:rsid w:val="001A3FAB"/>
    <w:rsid w:val="001B1221"/>
    <w:rsid w:val="001E7ECD"/>
    <w:rsid w:val="002D35E7"/>
    <w:rsid w:val="002E371A"/>
    <w:rsid w:val="00306B97"/>
    <w:rsid w:val="00395050"/>
    <w:rsid w:val="003A017A"/>
    <w:rsid w:val="004153D8"/>
    <w:rsid w:val="004661ED"/>
    <w:rsid w:val="00473746"/>
    <w:rsid w:val="00477968"/>
    <w:rsid w:val="004C7721"/>
    <w:rsid w:val="00533AB3"/>
    <w:rsid w:val="00535998"/>
    <w:rsid w:val="005466A2"/>
    <w:rsid w:val="005B2CEB"/>
    <w:rsid w:val="005F7CF5"/>
    <w:rsid w:val="006002F6"/>
    <w:rsid w:val="0062769B"/>
    <w:rsid w:val="006443C3"/>
    <w:rsid w:val="00670EFE"/>
    <w:rsid w:val="0067459F"/>
    <w:rsid w:val="006A583B"/>
    <w:rsid w:val="006B70B1"/>
    <w:rsid w:val="006C1EC4"/>
    <w:rsid w:val="00717D8B"/>
    <w:rsid w:val="008133BC"/>
    <w:rsid w:val="00867725"/>
    <w:rsid w:val="00882641"/>
    <w:rsid w:val="008A278B"/>
    <w:rsid w:val="009820D9"/>
    <w:rsid w:val="009B48C2"/>
    <w:rsid w:val="009E6F5D"/>
    <w:rsid w:val="00A07F25"/>
    <w:rsid w:val="00A109F6"/>
    <w:rsid w:val="00A10E82"/>
    <w:rsid w:val="00A53C47"/>
    <w:rsid w:val="00AB24FC"/>
    <w:rsid w:val="00AD0F48"/>
    <w:rsid w:val="00AF1DD1"/>
    <w:rsid w:val="00B821C8"/>
    <w:rsid w:val="00B85989"/>
    <w:rsid w:val="00BC1C88"/>
    <w:rsid w:val="00BD1115"/>
    <w:rsid w:val="00C25343"/>
    <w:rsid w:val="00C25F2B"/>
    <w:rsid w:val="00C26AB7"/>
    <w:rsid w:val="00C77551"/>
    <w:rsid w:val="00C854E6"/>
    <w:rsid w:val="00CB701C"/>
    <w:rsid w:val="00D037F8"/>
    <w:rsid w:val="00D61514"/>
    <w:rsid w:val="00D87266"/>
    <w:rsid w:val="00DA3D15"/>
    <w:rsid w:val="00DF5AB0"/>
    <w:rsid w:val="00E3552B"/>
    <w:rsid w:val="00E779DC"/>
    <w:rsid w:val="00EF30B3"/>
    <w:rsid w:val="00F21A0A"/>
    <w:rsid w:val="00F23CCB"/>
    <w:rsid w:val="00FF0FC4"/>
    <w:rsid w:val="00FF10F0"/>
    <w:rsid w:val="00FF1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3D5E184"/>
  <w15:chartTrackingRefBased/>
  <w15:docId w15:val="{2B964B86-2BAD-4F20-8CCB-10D4C6F36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6A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7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69B"/>
  </w:style>
  <w:style w:type="paragraph" w:styleId="Footer">
    <w:name w:val="footer"/>
    <w:basedOn w:val="Normal"/>
    <w:link w:val="FooterChar"/>
    <w:uiPriority w:val="99"/>
    <w:unhideWhenUsed/>
    <w:rsid w:val="00627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69B"/>
  </w:style>
  <w:style w:type="paragraph" w:styleId="NoSpacing">
    <w:name w:val="No Spacing"/>
    <w:uiPriority w:val="1"/>
    <w:qFormat/>
    <w:rsid w:val="00196A5A"/>
    <w:pPr>
      <w:spacing w:after="0" w:line="240" w:lineRule="auto"/>
    </w:pPr>
  </w:style>
  <w:style w:type="character" w:styleId="Hyperlink">
    <w:name w:val="Hyperlink"/>
    <w:basedOn w:val="DefaultParagraphFont"/>
    <w:uiPriority w:val="99"/>
    <w:unhideWhenUsed/>
    <w:rsid w:val="00196A5A"/>
    <w:rPr>
      <w:color w:val="0000FF"/>
      <w:u w:val="single"/>
    </w:rPr>
  </w:style>
  <w:style w:type="table" w:styleId="TableGrid">
    <w:name w:val="Table Grid"/>
    <w:basedOn w:val="TableNormal"/>
    <w:uiPriority w:val="39"/>
    <w:rsid w:val="00196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96A5A"/>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037F8"/>
    <w:pPr>
      <w:ind w:left="720"/>
      <w:contextualSpacing/>
    </w:pPr>
  </w:style>
  <w:style w:type="character" w:styleId="CommentReference">
    <w:name w:val="annotation reference"/>
    <w:basedOn w:val="DefaultParagraphFont"/>
    <w:uiPriority w:val="99"/>
    <w:semiHidden/>
    <w:unhideWhenUsed/>
    <w:rsid w:val="00AD0F48"/>
    <w:rPr>
      <w:sz w:val="16"/>
      <w:szCs w:val="16"/>
    </w:rPr>
  </w:style>
  <w:style w:type="paragraph" w:styleId="CommentText">
    <w:name w:val="annotation text"/>
    <w:basedOn w:val="Normal"/>
    <w:link w:val="CommentTextChar"/>
    <w:uiPriority w:val="99"/>
    <w:unhideWhenUsed/>
    <w:rsid w:val="00AD0F48"/>
    <w:pPr>
      <w:spacing w:line="240" w:lineRule="auto"/>
    </w:pPr>
    <w:rPr>
      <w:sz w:val="20"/>
      <w:szCs w:val="20"/>
    </w:rPr>
  </w:style>
  <w:style w:type="character" w:customStyle="1" w:styleId="CommentTextChar">
    <w:name w:val="Comment Text Char"/>
    <w:basedOn w:val="DefaultParagraphFont"/>
    <w:link w:val="CommentText"/>
    <w:uiPriority w:val="99"/>
    <w:rsid w:val="00AD0F48"/>
    <w:rPr>
      <w:sz w:val="20"/>
      <w:szCs w:val="20"/>
    </w:rPr>
  </w:style>
  <w:style w:type="character" w:styleId="UnresolvedMention">
    <w:name w:val="Unresolved Mention"/>
    <w:basedOn w:val="DefaultParagraphFont"/>
    <w:uiPriority w:val="99"/>
    <w:semiHidden/>
    <w:unhideWhenUsed/>
    <w:rsid w:val="00AD0F48"/>
    <w:rPr>
      <w:color w:val="605E5C"/>
      <w:shd w:val="clear" w:color="auto" w:fill="E1DFDD"/>
    </w:rPr>
  </w:style>
  <w:style w:type="paragraph" w:styleId="BalloonText">
    <w:name w:val="Balloon Text"/>
    <w:basedOn w:val="Normal"/>
    <w:link w:val="BalloonTextChar"/>
    <w:uiPriority w:val="99"/>
    <w:semiHidden/>
    <w:unhideWhenUsed/>
    <w:rsid w:val="004661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1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93815">
      <w:bodyDiv w:val="1"/>
      <w:marLeft w:val="0"/>
      <w:marRight w:val="0"/>
      <w:marTop w:val="0"/>
      <w:marBottom w:val="0"/>
      <w:divBdr>
        <w:top w:val="none" w:sz="0" w:space="0" w:color="auto"/>
        <w:left w:val="none" w:sz="0" w:space="0" w:color="auto"/>
        <w:bottom w:val="none" w:sz="0" w:space="0" w:color="auto"/>
        <w:right w:val="none" w:sz="0" w:space="0" w:color="auto"/>
      </w:divBdr>
      <w:divsChild>
        <w:div w:id="287669290">
          <w:marLeft w:val="446"/>
          <w:marRight w:val="0"/>
          <w:marTop w:val="0"/>
          <w:marBottom w:val="0"/>
          <w:divBdr>
            <w:top w:val="none" w:sz="0" w:space="0" w:color="auto"/>
            <w:left w:val="none" w:sz="0" w:space="0" w:color="auto"/>
            <w:bottom w:val="none" w:sz="0" w:space="0" w:color="auto"/>
            <w:right w:val="none" w:sz="0" w:space="0" w:color="auto"/>
          </w:divBdr>
        </w:div>
        <w:div w:id="1264532186">
          <w:marLeft w:val="1166"/>
          <w:marRight w:val="0"/>
          <w:marTop w:val="0"/>
          <w:marBottom w:val="0"/>
          <w:divBdr>
            <w:top w:val="none" w:sz="0" w:space="0" w:color="auto"/>
            <w:left w:val="none" w:sz="0" w:space="0" w:color="auto"/>
            <w:bottom w:val="none" w:sz="0" w:space="0" w:color="auto"/>
            <w:right w:val="none" w:sz="0" w:space="0" w:color="auto"/>
          </w:divBdr>
        </w:div>
        <w:div w:id="1895970510">
          <w:marLeft w:val="1166"/>
          <w:marRight w:val="0"/>
          <w:marTop w:val="0"/>
          <w:marBottom w:val="0"/>
          <w:divBdr>
            <w:top w:val="none" w:sz="0" w:space="0" w:color="auto"/>
            <w:left w:val="none" w:sz="0" w:space="0" w:color="auto"/>
            <w:bottom w:val="none" w:sz="0" w:space="0" w:color="auto"/>
            <w:right w:val="none" w:sz="0" w:space="0" w:color="auto"/>
          </w:divBdr>
        </w:div>
      </w:divsChild>
    </w:div>
    <w:div w:id="55670159">
      <w:bodyDiv w:val="1"/>
      <w:marLeft w:val="0"/>
      <w:marRight w:val="0"/>
      <w:marTop w:val="0"/>
      <w:marBottom w:val="0"/>
      <w:divBdr>
        <w:top w:val="none" w:sz="0" w:space="0" w:color="auto"/>
        <w:left w:val="none" w:sz="0" w:space="0" w:color="auto"/>
        <w:bottom w:val="none" w:sz="0" w:space="0" w:color="auto"/>
        <w:right w:val="none" w:sz="0" w:space="0" w:color="auto"/>
      </w:divBdr>
    </w:div>
    <w:div w:id="129325370">
      <w:bodyDiv w:val="1"/>
      <w:marLeft w:val="0"/>
      <w:marRight w:val="0"/>
      <w:marTop w:val="0"/>
      <w:marBottom w:val="0"/>
      <w:divBdr>
        <w:top w:val="none" w:sz="0" w:space="0" w:color="auto"/>
        <w:left w:val="none" w:sz="0" w:space="0" w:color="auto"/>
        <w:bottom w:val="none" w:sz="0" w:space="0" w:color="auto"/>
        <w:right w:val="none" w:sz="0" w:space="0" w:color="auto"/>
      </w:divBdr>
      <w:divsChild>
        <w:div w:id="870652125">
          <w:marLeft w:val="274"/>
          <w:marRight w:val="0"/>
          <w:marTop w:val="0"/>
          <w:marBottom w:val="0"/>
          <w:divBdr>
            <w:top w:val="none" w:sz="0" w:space="0" w:color="auto"/>
            <w:left w:val="none" w:sz="0" w:space="0" w:color="auto"/>
            <w:bottom w:val="none" w:sz="0" w:space="0" w:color="auto"/>
            <w:right w:val="none" w:sz="0" w:space="0" w:color="auto"/>
          </w:divBdr>
        </w:div>
        <w:div w:id="1310787226">
          <w:marLeft w:val="274"/>
          <w:marRight w:val="0"/>
          <w:marTop w:val="0"/>
          <w:marBottom w:val="0"/>
          <w:divBdr>
            <w:top w:val="none" w:sz="0" w:space="0" w:color="auto"/>
            <w:left w:val="none" w:sz="0" w:space="0" w:color="auto"/>
            <w:bottom w:val="none" w:sz="0" w:space="0" w:color="auto"/>
            <w:right w:val="none" w:sz="0" w:space="0" w:color="auto"/>
          </w:divBdr>
        </w:div>
        <w:div w:id="535656624">
          <w:marLeft w:val="274"/>
          <w:marRight w:val="0"/>
          <w:marTop w:val="0"/>
          <w:marBottom w:val="0"/>
          <w:divBdr>
            <w:top w:val="none" w:sz="0" w:space="0" w:color="auto"/>
            <w:left w:val="none" w:sz="0" w:space="0" w:color="auto"/>
            <w:bottom w:val="none" w:sz="0" w:space="0" w:color="auto"/>
            <w:right w:val="none" w:sz="0" w:space="0" w:color="auto"/>
          </w:divBdr>
        </w:div>
        <w:div w:id="453905544">
          <w:marLeft w:val="274"/>
          <w:marRight w:val="0"/>
          <w:marTop w:val="0"/>
          <w:marBottom w:val="0"/>
          <w:divBdr>
            <w:top w:val="none" w:sz="0" w:space="0" w:color="auto"/>
            <w:left w:val="none" w:sz="0" w:space="0" w:color="auto"/>
            <w:bottom w:val="none" w:sz="0" w:space="0" w:color="auto"/>
            <w:right w:val="none" w:sz="0" w:space="0" w:color="auto"/>
          </w:divBdr>
        </w:div>
        <w:div w:id="1997488061">
          <w:marLeft w:val="274"/>
          <w:marRight w:val="0"/>
          <w:marTop w:val="0"/>
          <w:marBottom w:val="0"/>
          <w:divBdr>
            <w:top w:val="none" w:sz="0" w:space="0" w:color="auto"/>
            <w:left w:val="none" w:sz="0" w:space="0" w:color="auto"/>
            <w:bottom w:val="none" w:sz="0" w:space="0" w:color="auto"/>
            <w:right w:val="none" w:sz="0" w:space="0" w:color="auto"/>
          </w:divBdr>
        </w:div>
        <w:div w:id="1932811174">
          <w:marLeft w:val="274"/>
          <w:marRight w:val="0"/>
          <w:marTop w:val="0"/>
          <w:marBottom w:val="0"/>
          <w:divBdr>
            <w:top w:val="none" w:sz="0" w:space="0" w:color="auto"/>
            <w:left w:val="none" w:sz="0" w:space="0" w:color="auto"/>
            <w:bottom w:val="none" w:sz="0" w:space="0" w:color="auto"/>
            <w:right w:val="none" w:sz="0" w:space="0" w:color="auto"/>
          </w:divBdr>
        </w:div>
      </w:divsChild>
    </w:div>
    <w:div w:id="154688895">
      <w:bodyDiv w:val="1"/>
      <w:marLeft w:val="0"/>
      <w:marRight w:val="0"/>
      <w:marTop w:val="0"/>
      <w:marBottom w:val="0"/>
      <w:divBdr>
        <w:top w:val="none" w:sz="0" w:space="0" w:color="auto"/>
        <w:left w:val="none" w:sz="0" w:space="0" w:color="auto"/>
        <w:bottom w:val="none" w:sz="0" w:space="0" w:color="auto"/>
        <w:right w:val="none" w:sz="0" w:space="0" w:color="auto"/>
      </w:divBdr>
      <w:divsChild>
        <w:div w:id="1548762978">
          <w:marLeft w:val="806"/>
          <w:marRight w:val="0"/>
          <w:marTop w:val="120"/>
          <w:marBottom w:val="120"/>
          <w:divBdr>
            <w:top w:val="none" w:sz="0" w:space="0" w:color="auto"/>
            <w:left w:val="none" w:sz="0" w:space="0" w:color="auto"/>
            <w:bottom w:val="none" w:sz="0" w:space="0" w:color="auto"/>
            <w:right w:val="none" w:sz="0" w:space="0" w:color="auto"/>
          </w:divBdr>
        </w:div>
        <w:div w:id="1754815667">
          <w:marLeft w:val="806"/>
          <w:marRight w:val="0"/>
          <w:marTop w:val="120"/>
          <w:marBottom w:val="120"/>
          <w:divBdr>
            <w:top w:val="none" w:sz="0" w:space="0" w:color="auto"/>
            <w:left w:val="none" w:sz="0" w:space="0" w:color="auto"/>
            <w:bottom w:val="none" w:sz="0" w:space="0" w:color="auto"/>
            <w:right w:val="none" w:sz="0" w:space="0" w:color="auto"/>
          </w:divBdr>
        </w:div>
        <w:div w:id="587885216">
          <w:marLeft w:val="806"/>
          <w:marRight w:val="0"/>
          <w:marTop w:val="120"/>
          <w:marBottom w:val="120"/>
          <w:divBdr>
            <w:top w:val="none" w:sz="0" w:space="0" w:color="auto"/>
            <w:left w:val="none" w:sz="0" w:space="0" w:color="auto"/>
            <w:bottom w:val="none" w:sz="0" w:space="0" w:color="auto"/>
            <w:right w:val="none" w:sz="0" w:space="0" w:color="auto"/>
          </w:divBdr>
        </w:div>
        <w:div w:id="208496621">
          <w:marLeft w:val="806"/>
          <w:marRight w:val="0"/>
          <w:marTop w:val="120"/>
          <w:marBottom w:val="120"/>
          <w:divBdr>
            <w:top w:val="none" w:sz="0" w:space="0" w:color="auto"/>
            <w:left w:val="none" w:sz="0" w:space="0" w:color="auto"/>
            <w:bottom w:val="none" w:sz="0" w:space="0" w:color="auto"/>
            <w:right w:val="none" w:sz="0" w:space="0" w:color="auto"/>
          </w:divBdr>
        </w:div>
      </w:divsChild>
    </w:div>
    <w:div w:id="215700698">
      <w:bodyDiv w:val="1"/>
      <w:marLeft w:val="0"/>
      <w:marRight w:val="0"/>
      <w:marTop w:val="0"/>
      <w:marBottom w:val="0"/>
      <w:divBdr>
        <w:top w:val="none" w:sz="0" w:space="0" w:color="auto"/>
        <w:left w:val="none" w:sz="0" w:space="0" w:color="auto"/>
        <w:bottom w:val="none" w:sz="0" w:space="0" w:color="auto"/>
        <w:right w:val="none" w:sz="0" w:space="0" w:color="auto"/>
      </w:divBdr>
      <w:divsChild>
        <w:div w:id="1838226668">
          <w:marLeft w:val="547"/>
          <w:marRight w:val="0"/>
          <w:marTop w:val="0"/>
          <w:marBottom w:val="0"/>
          <w:divBdr>
            <w:top w:val="none" w:sz="0" w:space="0" w:color="auto"/>
            <w:left w:val="none" w:sz="0" w:space="0" w:color="auto"/>
            <w:bottom w:val="none" w:sz="0" w:space="0" w:color="auto"/>
            <w:right w:val="none" w:sz="0" w:space="0" w:color="auto"/>
          </w:divBdr>
        </w:div>
      </w:divsChild>
    </w:div>
    <w:div w:id="224681549">
      <w:bodyDiv w:val="1"/>
      <w:marLeft w:val="0"/>
      <w:marRight w:val="0"/>
      <w:marTop w:val="0"/>
      <w:marBottom w:val="0"/>
      <w:divBdr>
        <w:top w:val="none" w:sz="0" w:space="0" w:color="auto"/>
        <w:left w:val="none" w:sz="0" w:space="0" w:color="auto"/>
        <w:bottom w:val="none" w:sz="0" w:space="0" w:color="auto"/>
        <w:right w:val="none" w:sz="0" w:space="0" w:color="auto"/>
      </w:divBdr>
    </w:div>
    <w:div w:id="243536938">
      <w:bodyDiv w:val="1"/>
      <w:marLeft w:val="0"/>
      <w:marRight w:val="0"/>
      <w:marTop w:val="0"/>
      <w:marBottom w:val="0"/>
      <w:divBdr>
        <w:top w:val="none" w:sz="0" w:space="0" w:color="auto"/>
        <w:left w:val="none" w:sz="0" w:space="0" w:color="auto"/>
        <w:bottom w:val="none" w:sz="0" w:space="0" w:color="auto"/>
        <w:right w:val="none" w:sz="0" w:space="0" w:color="auto"/>
      </w:divBdr>
    </w:div>
    <w:div w:id="253436157">
      <w:bodyDiv w:val="1"/>
      <w:marLeft w:val="0"/>
      <w:marRight w:val="0"/>
      <w:marTop w:val="0"/>
      <w:marBottom w:val="0"/>
      <w:divBdr>
        <w:top w:val="none" w:sz="0" w:space="0" w:color="auto"/>
        <w:left w:val="none" w:sz="0" w:space="0" w:color="auto"/>
        <w:bottom w:val="none" w:sz="0" w:space="0" w:color="auto"/>
        <w:right w:val="none" w:sz="0" w:space="0" w:color="auto"/>
      </w:divBdr>
    </w:div>
    <w:div w:id="298266013">
      <w:bodyDiv w:val="1"/>
      <w:marLeft w:val="0"/>
      <w:marRight w:val="0"/>
      <w:marTop w:val="0"/>
      <w:marBottom w:val="0"/>
      <w:divBdr>
        <w:top w:val="none" w:sz="0" w:space="0" w:color="auto"/>
        <w:left w:val="none" w:sz="0" w:space="0" w:color="auto"/>
        <w:bottom w:val="none" w:sz="0" w:space="0" w:color="auto"/>
        <w:right w:val="none" w:sz="0" w:space="0" w:color="auto"/>
      </w:divBdr>
      <w:divsChild>
        <w:div w:id="1582525975">
          <w:marLeft w:val="547"/>
          <w:marRight w:val="0"/>
          <w:marTop w:val="0"/>
          <w:marBottom w:val="0"/>
          <w:divBdr>
            <w:top w:val="none" w:sz="0" w:space="0" w:color="auto"/>
            <w:left w:val="none" w:sz="0" w:space="0" w:color="auto"/>
            <w:bottom w:val="none" w:sz="0" w:space="0" w:color="auto"/>
            <w:right w:val="none" w:sz="0" w:space="0" w:color="auto"/>
          </w:divBdr>
        </w:div>
      </w:divsChild>
    </w:div>
    <w:div w:id="364450444">
      <w:bodyDiv w:val="1"/>
      <w:marLeft w:val="0"/>
      <w:marRight w:val="0"/>
      <w:marTop w:val="0"/>
      <w:marBottom w:val="0"/>
      <w:divBdr>
        <w:top w:val="none" w:sz="0" w:space="0" w:color="auto"/>
        <w:left w:val="none" w:sz="0" w:space="0" w:color="auto"/>
        <w:bottom w:val="none" w:sz="0" w:space="0" w:color="auto"/>
        <w:right w:val="none" w:sz="0" w:space="0" w:color="auto"/>
      </w:divBdr>
      <w:divsChild>
        <w:div w:id="1475374035">
          <w:marLeft w:val="1166"/>
          <w:marRight w:val="0"/>
          <w:marTop w:val="0"/>
          <w:marBottom w:val="60"/>
          <w:divBdr>
            <w:top w:val="none" w:sz="0" w:space="0" w:color="auto"/>
            <w:left w:val="none" w:sz="0" w:space="0" w:color="auto"/>
            <w:bottom w:val="none" w:sz="0" w:space="0" w:color="auto"/>
            <w:right w:val="none" w:sz="0" w:space="0" w:color="auto"/>
          </w:divBdr>
        </w:div>
        <w:div w:id="673533111">
          <w:marLeft w:val="1166"/>
          <w:marRight w:val="0"/>
          <w:marTop w:val="0"/>
          <w:marBottom w:val="60"/>
          <w:divBdr>
            <w:top w:val="none" w:sz="0" w:space="0" w:color="auto"/>
            <w:left w:val="none" w:sz="0" w:space="0" w:color="auto"/>
            <w:bottom w:val="none" w:sz="0" w:space="0" w:color="auto"/>
            <w:right w:val="none" w:sz="0" w:space="0" w:color="auto"/>
          </w:divBdr>
        </w:div>
        <w:div w:id="2013410215">
          <w:marLeft w:val="1166"/>
          <w:marRight w:val="0"/>
          <w:marTop w:val="0"/>
          <w:marBottom w:val="60"/>
          <w:divBdr>
            <w:top w:val="none" w:sz="0" w:space="0" w:color="auto"/>
            <w:left w:val="none" w:sz="0" w:space="0" w:color="auto"/>
            <w:bottom w:val="none" w:sz="0" w:space="0" w:color="auto"/>
            <w:right w:val="none" w:sz="0" w:space="0" w:color="auto"/>
          </w:divBdr>
        </w:div>
        <w:div w:id="45298237">
          <w:marLeft w:val="1166"/>
          <w:marRight w:val="0"/>
          <w:marTop w:val="0"/>
          <w:marBottom w:val="60"/>
          <w:divBdr>
            <w:top w:val="none" w:sz="0" w:space="0" w:color="auto"/>
            <w:left w:val="none" w:sz="0" w:space="0" w:color="auto"/>
            <w:bottom w:val="none" w:sz="0" w:space="0" w:color="auto"/>
            <w:right w:val="none" w:sz="0" w:space="0" w:color="auto"/>
          </w:divBdr>
        </w:div>
        <w:div w:id="7758453">
          <w:marLeft w:val="1166"/>
          <w:marRight w:val="0"/>
          <w:marTop w:val="0"/>
          <w:marBottom w:val="60"/>
          <w:divBdr>
            <w:top w:val="none" w:sz="0" w:space="0" w:color="auto"/>
            <w:left w:val="none" w:sz="0" w:space="0" w:color="auto"/>
            <w:bottom w:val="none" w:sz="0" w:space="0" w:color="auto"/>
            <w:right w:val="none" w:sz="0" w:space="0" w:color="auto"/>
          </w:divBdr>
        </w:div>
        <w:div w:id="144977615">
          <w:marLeft w:val="1166"/>
          <w:marRight w:val="0"/>
          <w:marTop w:val="0"/>
          <w:marBottom w:val="60"/>
          <w:divBdr>
            <w:top w:val="none" w:sz="0" w:space="0" w:color="auto"/>
            <w:left w:val="none" w:sz="0" w:space="0" w:color="auto"/>
            <w:bottom w:val="none" w:sz="0" w:space="0" w:color="auto"/>
            <w:right w:val="none" w:sz="0" w:space="0" w:color="auto"/>
          </w:divBdr>
        </w:div>
        <w:div w:id="169029796">
          <w:marLeft w:val="1166"/>
          <w:marRight w:val="0"/>
          <w:marTop w:val="0"/>
          <w:marBottom w:val="60"/>
          <w:divBdr>
            <w:top w:val="none" w:sz="0" w:space="0" w:color="auto"/>
            <w:left w:val="none" w:sz="0" w:space="0" w:color="auto"/>
            <w:bottom w:val="none" w:sz="0" w:space="0" w:color="auto"/>
            <w:right w:val="none" w:sz="0" w:space="0" w:color="auto"/>
          </w:divBdr>
        </w:div>
      </w:divsChild>
    </w:div>
    <w:div w:id="428695874">
      <w:bodyDiv w:val="1"/>
      <w:marLeft w:val="0"/>
      <w:marRight w:val="0"/>
      <w:marTop w:val="0"/>
      <w:marBottom w:val="0"/>
      <w:divBdr>
        <w:top w:val="none" w:sz="0" w:space="0" w:color="auto"/>
        <w:left w:val="none" w:sz="0" w:space="0" w:color="auto"/>
        <w:bottom w:val="none" w:sz="0" w:space="0" w:color="auto"/>
        <w:right w:val="none" w:sz="0" w:space="0" w:color="auto"/>
      </w:divBdr>
      <w:divsChild>
        <w:div w:id="1387145538">
          <w:marLeft w:val="547"/>
          <w:marRight w:val="0"/>
          <w:marTop w:val="0"/>
          <w:marBottom w:val="0"/>
          <w:divBdr>
            <w:top w:val="none" w:sz="0" w:space="0" w:color="auto"/>
            <w:left w:val="none" w:sz="0" w:space="0" w:color="auto"/>
            <w:bottom w:val="none" w:sz="0" w:space="0" w:color="auto"/>
            <w:right w:val="none" w:sz="0" w:space="0" w:color="auto"/>
          </w:divBdr>
        </w:div>
        <w:div w:id="138769667">
          <w:marLeft w:val="547"/>
          <w:marRight w:val="0"/>
          <w:marTop w:val="0"/>
          <w:marBottom w:val="0"/>
          <w:divBdr>
            <w:top w:val="none" w:sz="0" w:space="0" w:color="auto"/>
            <w:left w:val="none" w:sz="0" w:space="0" w:color="auto"/>
            <w:bottom w:val="none" w:sz="0" w:space="0" w:color="auto"/>
            <w:right w:val="none" w:sz="0" w:space="0" w:color="auto"/>
          </w:divBdr>
        </w:div>
      </w:divsChild>
    </w:div>
    <w:div w:id="441385903">
      <w:bodyDiv w:val="1"/>
      <w:marLeft w:val="0"/>
      <w:marRight w:val="0"/>
      <w:marTop w:val="0"/>
      <w:marBottom w:val="0"/>
      <w:divBdr>
        <w:top w:val="none" w:sz="0" w:space="0" w:color="auto"/>
        <w:left w:val="none" w:sz="0" w:space="0" w:color="auto"/>
        <w:bottom w:val="none" w:sz="0" w:space="0" w:color="auto"/>
        <w:right w:val="none" w:sz="0" w:space="0" w:color="auto"/>
      </w:divBdr>
    </w:div>
    <w:div w:id="512840101">
      <w:bodyDiv w:val="1"/>
      <w:marLeft w:val="0"/>
      <w:marRight w:val="0"/>
      <w:marTop w:val="0"/>
      <w:marBottom w:val="0"/>
      <w:divBdr>
        <w:top w:val="none" w:sz="0" w:space="0" w:color="auto"/>
        <w:left w:val="none" w:sz="0" w:space="0" w:color="auto"/>
        <w:bottom w:val="none" w:sz="0" w:space="0" w:color="auto"/>
        <w:right w:val="none" w:sz="0" w:space="0" w:color="auto"/>
      </w:divBdr>
      <w:divsChild>
        <w:div w:id="659193052">
          <w:marLeft w:val="547"/>
          <w:marRight w:val="0"/>
          <w:marTop w:val="0"/>
          <w:marBottom w:val="0"/>
          <w:divBdr>
            <w:top w:val="none" w:sz="0" w:space="0" w:color="auto"/>
            <w:left w:val="none" w:sz="0" w:space="0" w:color="auto"/>
            <w:bottom w:val="none" w:sz="0" w:space="0" w:color="auto"/>
            <w:right w:val="none" w:sz="0" w:space="0" w:color="auto"/>
          </w:divBdr>
        </w:div>
      </w:divsChild>
    </w:div>
    <w:div w:id="754859118">
      <w:bodyDiv w:val="1"/>
      <w:marLeft w:val="0"/>
      <w:marRight w:val="0"/>
      <w:marTop w:val="0"/>
      <w:marBottom w:val="0"/>
      <w:divBdr>
        <w:top w:val="none" w:sz="0" w:space="0" w:color="auto"/>
        <w:left w:val="none" w:sz="0" w:space="0" w:color="auto"/>
        <w:bottom w:val="none" w:sz="0" w:space="0" w:color="auto"/>
        <w:right w:val="none" w:sz="0" w:space="0" w:color="auto"/>
      </w:divBdr>
    </w:div>
    <w:div w:id="785002233">
      <w:bodyDiv w:val="1"/>
      <w:marLeft w:val="0"/>
      <w:marRight w:val="0"/>
      <w:marTop w:val="0"/>
      <w:marBottom w:val="0"/>
      <w:divBdr>
        <w:top w:val="none" w:sz="0" w:space="0" w:color="auto"/>
        <w:left w:val="none" w:sz="0" w:space="0" w:color="auto"/>
        <w:bottom w:val="none" w:sz="0" w:space="0" w:color="auto"/>
        <w:right w:val="none" w:sz="0" w:space="0" w:color="auto"/>
      </w:divBdr>
    </w:div>
    <w:div w:id="808402230">
      <w:bodyDiv w:val="1"/>
      <w:marLeft w:val="0"/>
      <w:marRight w:val="0"/>
      <w:marTop w:val="0"/>
      <w:marBottom w:val="0"/>
      <w:divBdr>
        <w:top w:val="none" w:sz="0" w:space="0" w:color="auto"/>
        <w:left w:val="none" w:sz="0" w:space="0" w:color="auto"/>
        <w:bottom w:val="none" w:sz="0" w:space="0" w:color="auto"/>
        <w:right w:val="none" w:sz="0" w:space="0" w:color="auto"/>
      </w:divBdr>
      <w:divsChild>
        <w:div w:id="1558276666">
          <w:marLeft w:val="446"/>
          <w:marRight w:val="0"/>
          <w:marTop w:val="0"/>
          <w:marBottom w:val="0"/>
          <w:divBdr>
            <w:top w:val="none" w:sz="0" w:space="0" w:color="auto"/>
            <w:left w:val="none" w:sz="0" w:space="0" w:color="auto"/>
            <w:bottom w:val="none" w:sz="0" w:space="0" w:color="auto"/>
            <w:right w:val="none" w:sz="0" w:space="0" w:color="auto"/>
          </w:divBdr>
        </w:div>
        <w:div w:id="312300575">
          <w:marLeft w:val="1166"/>
          <w:marRight w:val="0"/>
          <w:marTop w:val="120"/>
          <w:marBottom w:val="0"/>
          <w:divBdr>
            <w:top w:val="none" w:sz="0" w:space="0" w:color="auto"/>
            <w:left w:val="none" w:sz="0" w:space="0" w:color="auto"/>
            <w:bottom w:val="none" w:sz="0" w:space="0" w:color="auto"/>
            <w:right w:val="none" w:sz="0" w:space="0" w:color="auto"/>
          </w:divBdr>
        </w:div>
        <w:div w:id="162010381">
          <w:marLeft w:val="1166"/>
          <w:marRight w:val="0"/>
          <w:marTop w:val="120"/>
          <w:marBottom w:val="0"/>
          <w:divBdr>
            <w:top w:val="none" w:sz="0" w:space="0" w:color="auto"/>
            <w:left w:val="none" w:sz="0" w:space="0" w:color="auto"/>
            <w:bottom w:val="none" w:sz="0" w:space="0" w:color="auto"/>
            <w:right w:val="none" w:sz="0" w:space="0" w:color="auto"/>
          </w:divBdr>
        </w:div>
      </w:divsChild>
    </w:div>
    <w:div w:id="833423816">
      <w:bodyDiv w:val="1"/>
      <w:marLeft w:val="0"/>
      <w:marRight w:val="0"/>
      <w:marTop w:val="0"/>
      <w:marBottom w:val="0"/>
      <w:divBdr>
        <w:top w:val="none" w:sz="0" w:space="0" w:color="auto"/>
        <w:left w:val="none" w:sz="0" w:space="0" w:color="auto"/>
        <w:bottom w:val="none" w:sz="0" w:space="0" w:color="auto"/>
        <w:right w:val="none" w:sz="0" w:space="0" w:color="auto"/>
      </w:divBdr>
      <w:divsChild>
        <w:div w:id="1398505445">
          <w:marLeft w:val="547"/>
          <w:marRight w:val="0"/>
          <w:marTop w:val="0"/>
          <w:marBottom w:val="0"/>
          <w:divBdr>
            <w:top w:val="none" w:sz="0" w:space="0" w:color="auto"/>
            <w:left w:val="none" w:sz="0" w:space="0" w:color="auto"/>
            <w:bottom w:val="none" w:sz="0" w:space="0" w:color="auto"/>
            <w:right w:val="none" w:sz="0" w:space="0" w:color="auto"/>
          </w:divBdr>
        </w:div>
      </w:divsChild>
    </w:div>
    <w:div w:id="997004445">
      <w:bodyDiv w:val="1"/>
      <w:marLeft w:val="0"/>
      <w:marRight w:val="0"/>
      <w:marTop w:val="0"/>
      <w:marBottom w:val="0"/>
      <w:divBdr>
        <w:top w:val="none" w:sz="0" w:space="0" w:color="auto"/>
        <w:left w:val="none" w:sz="0" w:space="0" w:color="auto"/>
        <w:bottom w:val="none" w:sz="0" w:space="0" w:color="auto"/>
        <w:right w:val="none" w:sz="0" w:space="0" w:color="auto"/>
      </w:divBdr>
    </w:div>
    <w:div w:id="1017391221">
      <w:bodyDiv w:val="1"/>
      <w:marLeft w:val="0"/>
      <w:marRight w:val="0"/>
      <w:marTop w:val="0"/>
      <w:marBottom w:val="0"/>
      <w:divBdr>
        <w:top w:val="none" w:sz="0" w:space="0" w:color="auto"/>
        <w:left w:val="none" w:sz="0" w:space="0" w:color="auto"/>
        <w:bottom w:val="none" w:sz="0" w:space="0" w:color="auto"/>
        <w:right w:val="none" w:sz="0" w:space="0" w:color="auto"/>
      </w:divBdr>
    </w:div>
    <w:div w:id="1020081696">
      <w:bodyDiv w:val="1"/>
      <w:marLeft w:val="0"/>
      <w:marRight w:val="0"/>
      <w:marTop w:val="0"/>
      <w:marBottom w:val="0"/>
      <w:divBdr>
        <w:top w:val="none" w:sz="0" w:space="0" w:color="auto"/>
        <w:left w:val="none" w:sz="0" w:space="0" w:color="auto"/>
        <w:bottom w:val="none" w:sz="0" w:space="0" w:color="auto"/>
        <w:right w:val="none" w:sz="0" w:space="0" w:color="auto"/>
      </w:divBdr>
    </w:div>
    <w:div w:id="1026060038">
      <w:bodyDiv w:val="1"/>
      <w:marLeft w:val="0"/>
      <w:marRight w:val="0"/>
      <w:marTop w:val="0"/>
      <w:marBottom w:val="0"/>
      <w:divBdr>
        <w:top w:val="none" w:sz="0" w:space="0" w:color="auto"/>
        <w:left w:val="none" w:sz="0" w:space="0" w:color="auto"/>
        <w:bottom w:val="none" w:sz="0" w:space="0" w:color="auto"/>
        <w:right w:val="none" w:sz="0" w:space="0" w:color="auto"/>
      </w:divBdr>
    </w:div>
    <w:div w:id="1035276871">
      <w:bodyDiv w:val="1"/>
      <w:marLeft w:val="0"/>
      <w:marRight w:val="0"/>
      <w:marTop w:val="0"/>
      <w:marBottom w:val="0"/>
      <w:divBdr>
        <w:top w:val="none" w:sz="0" w:space="0" w:color="auto"/>
        <w:left w:val="none" w:sz="0" w:space="0" w:color="auto"/>
        <w:bottom w:val="none" w:sz="0" w:space="0" w:color="auto"/>
        <w:right w:val="none" w:sz="0" w:space="0" w:color="auto"/>
      </w:divBdr>
      <w:divsChild>
        <w:div w:id="27024038">
          <w:marLeft w:val="446"/>
          <w:marRight w:val="0"/>
          <w:marTop w:val="0"/>
          <w:marBottom w:val="0"/>
          <w:divBdr>
            <w:top w:val="none" w:sz="0" w:space="0" w:color="auto"/>
            <w:left w:val="none" w:sz="0" w:space="0" w:color="auto"/>
            <w:bottom w:val="none" w:sz="0" w:space="0" w:color="auto"/>
            <w:right w:val="none" w:sz="0" w:space="0" w:color="auto"/>
          </w:divBdr>
        </w:div>
      </w:divsChild>
    </w:div>
    <w:div w:id="1062169845">
      <w:bodyDiv w:val="1"/>
      <w:marLeft w:val="0"/>
      <w:marRight w:val="0"/>
      <w:marTop w:val="0"/>
      <w:marBottom w:val="0"/>
      <w:divBdr>
        <w:top w:val="none" w:sz="0" w:space="0" w:color="auto"/>
        <w:left w:val="none" w:sz="0" w:space="0" w:color="auto"/>
        <w:bottom w:val="none" w:sz="0" w:space="0" w:color="auto"/>
        <w:right w:val="none" w:sz="0" w:space="0" w:color="auto"/>
      </w:divBdr>
    </w:div>
    <w:div w:id="1122382733">
      <w:bodyDiv w:val="1"/>
      <w:marLeft w:val="0"/>
      <w:marRight w:val="0"/>
      <w:marTop w:val="0"/>
      <w:marBottom w:val="0"/>
      <w:divBdr>
        <w:top w:val="none" w:sz="0" w:space="0" w:color="auto"/>
        <w:left w:val="none" w:sz="0" w:space="0" w:color="auto"/>
        <w:bottom w:val="none" w:sz="0" w:space="0" w:color="auto"/>
        <w:right w:val="none" w:sz="0" w:space="0" w:color="auto"/>
      </w:divBdr>
      <w:divsChild>
        <w:div w:id="253630406">
          <w:marLeft w:val="446"/>
          <w:marRight w:val="0"/>
          <w:marTop w:val="0"/>
          <w:marBottom w:val="0"/>
          <w:divBdr>
            <w:top w:val="none" w:sz="0" w:space="0" w:color="auto"/>
            <w:left w:val="none" w:sz="0" w:space="0" w:color="auto"/>
            <w:bottom w:val="none" w:sz="0" w:space="0" w:color="auto"/>
            <w:right w:val="none" w:sz="0" w:space="0" w:color="auto"/>
          </w:divBdr>
        </w:div>
        <w:div w:id="1526284201">
          <w:marLeft w:val="446"/>
          <w:marRight w:val="0"/>
          <w:marTop w:val="0"/>
          <w:marBottom w:val="0"/>
          <w:divBdr>
            <w:top w:val="none" w:sz="0" w:space="0" w:color="auto"/>
            <w:left w:val="none" w:sz="0" w:space="0" w:color="auto"/>
            <w:bottom w:val="none" w:sz="0" w:space="0" w:color="auto"/>
            <w:right w:val="none" w:sz="0" w:space="0" w:color="auto"/>
          </w:divBdr>
        </w:div>
      </w:divsChild>
    </w:div>
    <w:div w:id="1133987046">
      <w:bodyDiv w:val="1"/>
      <w:marLeft w:val="0"/>
      <w:marRight w:val="0"/>
      <w:marTop w:val="0"/>
      <w:marBottom w:val="0"/>
      <w:divBdr>
        <w:top w:val="none" w:sz="0" w:space="0" w:color="auto"/>
        <w:left w:val="none" w:sz="0" w:space="0" w:color="auto"/>
        <w:bottom w:val="none" w:sz="0" w:space="0" w:color="auto"/>
        <w:right w:val="none" w:sz="0" w:space="0" w:color="auto"/>
      </w:divBdr>
      <w:divsChild>
        <w:div w:id="414741057">
          <w:marLeft w:val="446"/>
          <w:marRight w:val="0"/>
          <w:marTop w:val="0"/>
          <w:marBottom w:val="0"/>
          <w:divBdr>
            <w:top w:val="none" w:sz="0" w:space="0" w:color="auto"/>
            <w:left w:val="none" w:sz="0" w:space="0" w:color="auto"/>
            <w:bottom w:val="none" w:sz="0" w:space="0" w:color="auto"/>
            <w:right w:val="none" w:sz="0" w:space="0" w:color="auto"/>
          </w:divBdr>
        </w:div>
      </w:divsChild>
    </w:div>
    <w:div w:id="1235623031">
      <w:bodyDiv w:val="1"/>
      <w:marLeft w:val="0"/>
      <w:marRight w:val="0"/>
      <w:marTop w:val="0"/>
      <w:marBottom w:val="0"/>
      <w:divBdr>
        <w:top w:val="none" w:sz="0" w:space="0" w:color="auto"/>
        <w:left w:val="none" w:sz="0" w:space="0" w:color="auto"/>
        <w:bottom w:val="none" w:sz="0" w:space="0" w:color="auto"/>
        <w:right w:val="none" w:sz="0" w:space="0" w:color="auto"/>
      </w:divBdr>
    </w:div>
    <w:div w:id="1240872393">
      <w:bodyDiv w:val="1"/>
      <w:marLeft w:val="0"/>
      <w:marRight w:val="0"/>
      <w:marTop w:val="0"/>
      <w:marBottom w:val="0"/>
      <w:divBdr>
        <w:top w:val="none" w:sz="0" w:space="0" w:color="auto"/>
        <w:left w:val="none" w:sz="0" w:space="0" w:color="auto"/>
        <w:bottom w:val="none" w:sz="0" w:space="0" w:color="auto"/>
        <w:right w:val="none" w:sz="0" w:space="0" w:color="auto"/>
      </w:divBdr>
    </w:div>
    <w:div w:id="1280138462">
      <w:bodyDiv w:val="1"/>
      <w:marLeft w:val="0"/>
      <w:marRight w:val="0"/>
      <w:marTop w:val="0"/>
      <w:marBottom w:val="0"/>
      <w:divBdr>
        <w:top w:val="none" w:sz="0" w:space="0" w:color="auto"/>
        <w:left w:val="none" w:sz="0" w:space="0" w:color="auto"/>
        <w:bottom w:val="none" w:sz="0" w:space="0" w:color="auto"/>
        <w:right w:val="none" w:sz="0" w:space="0" w:color="auto"/>
      </w:divBdr>
    </w:div>
    <w:div w:id="1387072880">
      <w:bodyDiv w:val="1"/>
      <w:marLeft w:val="0"/>
      <w:marRight w:val="0"/>
      <w:marTop w:val="0"/>
      <w:marBottom w:val="0"/>
      <w:divBdr>
        <w:top w:val="none" w:sz="0" w:space="0" w:color="auto"/>
        <w:left w:val="none" w:sz="0" w:space="0" w:color="auto"/>
        <w:bottom w:val="none" w:sz="0" w:space="0" w:color="auto"/>
        <w:right w:val="none" w:sz="0" w:space="0" w:color="auto"/>
      </w:divBdr>
    </w:div>
    <w:div w:id="1435634617">
      <w:bodyDiv w:val="1"/>
      <w:marLeft w:val="0"/>
      <w:marRight w:val="0"/>
      <w:marTop w:val="0"/>
      <w:marBottom w:val="0"/>
      <w:divBdr>
        <w:top w:val="none" w:sz="0" w:space="0" w:color="auto"/>
        <w:left w:val="none" w:sz="0" w:space="0" w:color="auto"/>
        <w:bottom w:val="none" w:sz="0" w:space="0" w:color="auto"/>
        <w:right w:val="none" w:sz="0" w:space="0" w:color="auto"/>
      </w:divBdr>
    </w:div>
    <w:div w:id="1495803581">
      <w:bodyDiv w:val="1"/>
      <w:marLeft w:val="0"/>
      <w:marRight w:val="0"/>
      <w:marTop w:val="0"/>
      <w:marBottom w:val="0"/>
      <w:divBdr>
        <w:top w:val="none" w:sz="0" w:space="0" w:color="auto"/>
        <w:left w:val="none" w:sz="0" w:space="0" w:color="auto"/>
        <w:bottom w:val="none" w:sz="0" w:space="0" w:color="auto"/>
        <w:right w:val="none" w:sz="0" w:space="0" w:color="auto"/>
      </w:divBdr>
    </w:div>
    <w:div w:id="1512600088">
      <w:bodyDiv w:val="1"/>
      <w:marLeft w:val="0"/>
      <w:marRight w:val="0"/>
      <w:marTop w:val="0"/>
      <w:marBottom w:val="0"/>
      <w:divBdr>
        <w:top w:val="none" w:sz="0" w:space="0" w:color="auto"/>
        <w:left w:val="none" w:sz="0" w:space="0" w:color="auto"/>
        <w:bottom w:val="none" w:sz="0" w:space="0" w:color="auto"/>
        <w:right w:val="none" w:sz="0" w:space="0" w:color="auto"/>
      </w:divBdr>
    </w:div>
    <w:div w:id="1575697726">
      <w:bodyDiv w:val="1"/>
      <w:marLeft w:val="0"/>
      <w:marRight w:val="0"/>
      <w:marTop w:val="0"/>
      <w:marBottom w:val="0"/>
      <w:divBdr>
        <w:top w:val="none" w:sz="0" w:space="0" w:color="auto"/>
        <w:left w:val="none" w:sz="0" w:space="0" w:color="auto"/>
        <w:bottom w:val="none" w:sz="0" w:space="0" w:color="auto"/>
        <w:right w:val="none" w:sz="0" w:space="0" w:color="auto"/>
      </w:divBdr>
      <w:divsChild>
        <w:div w:id="1432773944">
          <w:marLeft w:val="446"/>
          <w:marRight w:val="0"/>
          <w:marTop w:val="0"/>
          <w:marBottom w:val="0"/>
          <w:divBdr>
            <w:top w:val="none" w:sz="0" w:space="0" w:color="auto"/>
            <w:left w:val="none" w:sz="0" w:space="0" w:color="auto"/>
            <w:bottom w:val="none" w:sz="0" w:space="0" w:color="auto"/>
            <w:right w:val="none" w:sz="0" w:space="0" w:color="auto"/>
          </w:divBdr>
        </w:div>
        <w:div w:id="517157480">
          <w:marLeft w:val="1166"/>
          <w:marRight w:val="0"/>
          <w:marTop w:val="0"/>
          <w:marBottom w:val="0"/>
          <w:divBdr>
            <w:top w:val="none" w:sz="0" w:space="0" w:color="auto"/>
            <w:left w:val="none" w:sz="0" w:space="0" w:color="auto"/>
            <w:bottom w:val="none" w:sz="0" w:space="0" w:color="auto"/>
            <w:right w:val="none" w:sz="0" w:space="0" w:color="auto"/>
          </w:divBdr>
        </w:div>
        <w:div w:id="289020932">
          <w:marLeft w:val="1166"/>
          <w:marRight w:val="0"/>
          <w:marTop w:val="0"/>
          <w:marBottom w:val="0"/>
          <w:divBdr>
            <w:top w:val="none" w:sz="0" w:space="0" w:color="auto"/>
            <w:left w:val="none" w:sz="0" w:space="0" w:color="auto"/>
            <w:bottom w:val="none" w:sz="0" w:space="0" w:color="auto"/>
            <w:right w:val="none" w:sz="0" w:space="0" w:color="auto"/>
          </w:divBdr>
        </w:div>
        <w:div w:id="1914388336">
          <w:marLeft w:val="1166"/>
          <w:marRight w:val="0"/>
          <w:marTop w:val="0"/>
          <w:marBottom w:val="0"/>
          <w:divBdr>
            <w:top w:val="none" w:sz="0" w:space="0" w:color="auto"/>
            <w:left w:val="none" w:sz="0" w:space="0" w:color="auto"/>
            <w:bottom w:val="none" w:sz="0" w:space="0" w:color="auto"/>
            <w:right w:val="none" w:sz="0" w:space="0" w:color="auto"/>
          </w:divBdr>
        </w:div>
        <w:div w:id="761412191">
          <w:marLeft w:val="1166"/>
          <w:marRight w:val="0"/>
          <w:marTop w:val="0"/>
          <w:marBottom w:val="0"/>
          <w:divBdr>
            <w:top w:val="none" w:sz="0" w:space="0" w:color="auto"/>
            <w:left w:val="none" w:sz="0" w:space="0" w:color="auto"/>
            <w:bottom w:val="none" w:sz="0" w:space="0" w:color="auto"/>
            <w:right w:val="none" w:sz="0" w:space="0" w:color="auto"/>
          </w:divBdr>
        </w:div>
        <w:div w:id="339284214">
          <w:marLeft w:val="1166"/>
          <w:marRight w:val="0"/>
          <w:marTop w:val="0"/>
          <w:marBottom w:val="0"/>
          <w:divBdr>
            <w:top w:val="none" w:sz="0" w:space="0" w:color="auto"/>
            <w:left w:val="none" w:sz="0" w:space="0" w:color="auto"/>
            <w:bottom w:val="none" w:sz="0" w:space="0" w:color="auto"/>
            <w:right w:val="none" w:sz="0" w:space="0" w:color="auto"/>
          </w:divBdr>
        </w:div>
        <w:div w:id="1769542366">
          <w:marLeft w:val="1166"/>
          <w:marRight w:val="0"/>
          <w:marTop w:val="0"/>
          <w:marBottom w:val="0"/>
          <w:divBdr>
            <w:top w:val="none" w:sz="0" w:space="0" w:color="auto"/>
            <w:left w:val="none" w:sz="0" w:space="0" w:color="auto"/>
            <w:bottom w:val="none" w:sz="0" w:space="0" w:color="auto"/>
            <w:right w:val="none" w:sz="0" w:space="0" w:color="auto"/>
          </w:divBdr>
        </w:div>
        <w:div w:id="1159424820">
          <w:marLeft w:val="1166"/>
          <w:marRight w:val="0"/>
          <w:marTop w:val="0"/>
          <w:marBottom w:val="0"/>
          <w:divBdr>
            <w:top w:val="none" w:sz="0" w:space="0" w:color="auto"/>
            <w:left w:val="none" w:sz="0" w:space="0" w:color="auto"/>
            <w:bottom w:val="none" w:sz="0" w:space="0" w:color="auto"/>
            <w:right w:val="none" w:sz="0" w:space="0" w:color="auto"/>
          </w:divBdr>
        </w:div>
      </w:divsChild>
    </w:div>
    <w:div w:id="1616715503">
      <w:bodyDiv w:val="1"/>
      <w:marLeft w:val="0"/>
      <w:marRight w:val="0"/>
      <w:marTop w:val="0"/>
      <w:marBottom w:val="0"/>
      <w:divBdr>
        <w:top w:val="none" w:sz="0" w:space="0" w:color="auto"/>
        <w:left w:val="none" w:sz="0" w:space="0" w:color="auto"/>
        <w:bottom w:val="none" w:sz="0" w:space="0" w:color="auto"/>
        <w:right w:val="none" w:sz="0" w:space="0" w:color="auto"/>
      </w:divBdr>
    </w:div>
    <w:div w:id="1635478468">
      <w:bodyDiv w:val="1"/>
      <w:marLeft w:val="0"/>
      <w:marRight w:val="0"/>
      <w:marTop w:val="0"/>
      <w:marBottom w:val="0"/>
      <w:divBdr>
        <w:top w:val="none" w:sz="0" w:space="0" w:color="auto"/>
        <w:left w:val="none" w:sz="0" w:space="0" w:color="auto"/>
        <w:bottom w:val="none" w:sz="0" w:space="0" w:color="auto"/>
        <w:right w:val="none" w:sz="0" w:space="0" w:color="auto"/>
      </w:divBdr>
      <w:divsChild>
        <w:div w:id="167912032">
          <w:marLeft w:val="446"/>
          <w:marRight w:val="0"/>
          <w:marTop w:val="0"/>
          <w:marBottom w:val="134"/>
          <w:divBdr>
            <w:top w:val="none" w:sz="0" w:space="0" w:color="auto"/>
            <w:left w:val="none" w:sz="0" w:space="0" w:color="auto"/>
            <w:bottom w:val="none" w:sz="0" w:space="0" w:color="auto"/>
            <w:right w:val="none" w:sz="0" w:space="0" w:color="auto"/>
          </w:divBdr>
        </w:div>
      </w:divsChild>
    </w:div>
    <w:div w:id="1660575755">
      <w:bodyDiv w:val="1"/>
      <w:marLeft w:val="0"/>
      <w:marRight w:val="0"/>
      <w:marTop w:val="0"/>
      <w:marBottom w:val="0"/>
      <w:divBdr>
        <w:top w:val="none" w:sz="0" w:space="0" w:color="auto"/>
        <w:left w:val="none" w:sz="0" w:space="0" w:color="auto"/>
        <w:bottom w:val="none" w:sz="0" w:space="0" w:color="auto"/>
        <w:right w:val="none" w:sz="0" w:space="0" w:color="auto"/>
      </w:divBdr>
      <w:divsChild>
        <w:div w:id="897863011">
          <w:marLeft w:val="446"/>
          <w:marRight w:val="0"/>
          <w:marTop w:val="0"/>
          <w:marBottom w:val="60"/>
          <w:divBdr>
            <w:top w:val="none" w:sz="0" w:space="0" w:color="auto"/>
            <w:left w:val="none" w:sz="0" w:space="0" w:color="auto"/>
            <w:bottom w:val="none" w:sz="0" w:space="0" w:color="auto"/>
            <w:right w:val="none" w:sz="0" w:space="0" w:color="auto"/>
          </w:divBdr>
        </w:div>
      </w:divsChild>
    </w:div>
    <w:div w:id="1684088788">
      <w:bodyDiv w:val="1"/>
      <w:marLeft w:val="0"/>
      <w:marRight w:val="0"/>
      <w:marTop w:val="0"/>
      <w:marBottom w:val="0"/>
      <w:divBdr>
        <w:top w:val="none" w:sz="0" w:space="0" w:color="auto"/>
        <w:left w:val="none" w:sz="0" w:space="0" w:color="auto"/>
        <w:bottom w:val="none" w:sz="0" w:space="0" w:color="auto"/>
        <w:right w:val="none" w:sz="0" w:space="0" w:color="auto"/>
      </w:divBdr>
      <w:divsChild>
        <w:div w:id="146173145">
          <w:marLeft w:val="446"/>
          <w:marRight w:val="0"/>
          <w:marTop w:val="0"/>
          <w:marBottom w:val="0"/>
          <w:divBdr>
            <w:top w:val="none" w:sz="0" w:space="0" w:color="auto"/>
            <w:left w:val="none" w:sz="0" w:space="0" w:color="auto"/>
            <w:bottom w:val="none" w:sz="0" w:space="0" w:color="auto"/>
            <w:right w:val="none" w:sz="0" w:space="0" w:color="auto"/>
          </w:divBdr>
        </w:div>
      </w:divsChild>
    </w:div>
    <w:div w:id="1737623935">
      <w:bodyDiv w:val="1"/>
      <w:marLeft w:val="0"/>
      <w:marRight w:val="0"/>
      <w:marTop w:val="0"/>
      <w:marBottom w:val="0"/>
      <w:divBdr>
        <w:top w:val="none" w:sz="0" w:space="0" w:color="auto"/>
        <w:left w:val="none" w:sz="0" w:space="0" w:color="auto"/>
        <w:bottom w:val="none" w:sz="0" w:space="0" w:color="auto"/>
        <w:right w:val="none" w:sz="0" w:space="0" w:color="auto"/>
      </w:divBdr>
      <w:divsChild>
        <w:div w:id="1024284994">
          <w:marLeft w:val="446"/>
          <w:marRight w:val="0"/>
          <w:marTop w:val="0"/>
          <w:marBottom w:val="60"/>
          <w:divBdr>
            <w:top w:val="none" w:sz="0" w:space="0" w:color="auto"/>
            <w:left w:val="none" w:sz="0" w:space="0" w:color="auto"/>
            <w:bottom w:val="none" w:sz="0" w:space="0" w:color="auto"/>
            <w:right w:val="none" w:sz="0" w:space="0" w:color="auto"/>
          </w:divBdr>
        </w:div>
      </w:divsChild>
    </w:div>
    <w:div w:id="1801460059">
      <w:bodyDiv w:val="1"/>
      <w:marLeft w:val="0"/>
      <w:marRight w:val="0"/>
      <w:marTop w:val="0"/>
      <w:marBottom w:val="0"/>
      <w:divBdr>
        <w:top w:val="none" w:sz="0" w:space="0" w:color="auto"/>
        <w:left w:val="none" w:sz="0" w:space="0" w:color="auto"/>
        <w:bottom w:val="none" w:sz="0" w:space="0" w:color="auto"/>
        <w:right w:val="none" w:sz="0" w:space="0" w:color="auto"/>
      </w:divBdr>
    </w:div>
    <w:div w:id="1848669252">
      <w:bodyDiv w:val="1"/>
      <w:marLeft w:val="0"/>
      <w:marRight w:val="0"/>
      <w:marTop w:val="0"/>
      <w:marBottom w:val="0"/>
      <w:divBdr>
        <w:top w:val="none" w:sz="0" w:space="0" w:color="auto"/>
        <w:left w:val="none" w:sz="0" w:space="0" w:color="auto"/>
        <w:bottom w:val="none" w:sz="0" w:space="0" w:color="auto"/>
        <w:right w:val="none" w:sz="0" w:space="0" w:color="auto"/>
      </w:divBdr>
    </w:div>
    <w:div w:id="1884174077">
      <w:bodyDiv w:val="1"/>
      <w:marLeft w:val="0"/>
      <w:marRight w:val="0"/>
      <w:marTop w:val="0"/>
      <w:marBottom w:val="0"/>
      <w:divBdr>
        <w:top w:val="none" w:sz="0" w:space="0" w:color="auto"/>
        <w:left w:val="none" w:sz="0" w:space="0" w:color="auto"/>
        <w:bottom w:val="none" w:sz="0" w:space="0" w:color="auto"/>
        <w:right w:val="none" w:sz="0" w:space="0" w:color="auto"/>
      </w:divBdr>
      <w:divsChild>
        <w:div w:id="116798487">
          <w:marLeft w:val="446"/>
          <w:marRight w:val="0"/>
          <w:marTop w:val="0"/>
          <w:marBottom w:val="134"/>
          <w:divBdr>
            <w:top w:val="none" w:sz="0" w:space="0" w:color="auto"/>
            <w:left w:val="none" w:sz="0" w:space="0" w:color="auto"/>
            <w:bottom w:val="none" w:sz="0" w:space="0" w:color="auto"/>
            <w:right w:val="none" w:sz="0" w:space="0" w:color="auto"/>
          </w:divBdr>
        </w:div>
      </w:divsChild>
    </w:div>
    <w:div w:id="1937791313">
      <w:bodyDiv w:val="1"/>
      <w:marLeft w:val="0"/>
      <w:marRight w:val="0"/>
      <w:marTop w:val="0"/>
      <w:marBottom w:val="0"/>
      <w:divBdr>
        <w:top w:val="none" w:sz="0" w:space="0" w:color="auto"/>
        <w:left w:val="none" w:sz="0" w:space="0" w:color="auto"/>
        <w:bottom w:val="none" w:sz="0" w:space="0" w:color="auto"/>
        <w:right w:val="none" w:sz="0" w:space="0" w:color="auto"/>
      </w:divBdr>
    </w:div>
    <w:div w:id="2002855430">
      <w:bodyDiv w:val="1"/>
      <w:marLeft w:val="0"/>
      <w:marRight w:val="0"/>
      <w:marTop w:val="0"/>
      <w:marBottom w:val="0"/>
      <w:divBdr>
        <w:top w:val="none" w:sz="0" w:space="0" w:color="auto"/>
        <w:left w:val="none" w:sz="0" w:space="0" w:color="auto"/>
        <w:bottom w:val="none" w:sz="0" w:space="0" w:color="auto"/>
        <w:right w:val="none" w:sz="0" w:space="0" w:color="auto"/>
      </w:divBdr>
    </w:div>
    <w:div w:id="2047024337">
      <w:bodyDiv w:val="1"/>
      <w:marLeft w:val="0"/>
      <w:marRight w:val="0"/>
      <w:marTop w:val="0"/>
      <w:marBottom w:val="0"/>
      <w:divBdr>
        <w:top w:val="none" w:sz="0" w:space="0" w:color="auto"/>
        <w:left w:val="none" w:sz="0" w:space="0" w:color="auto"/>
        <w:bottom w:val="none" w:sz="0" w:space="0" w:color="auto"/>
        <w:right w:val="none" w:sz="0" w:space="0" w:color="auto"/>
      </w:divBdr>
      <w:divsChild>
        <w:div w:id="982077916">
          <w:marLeft w:val="446"/>
          <w:marRight w:val="0"/>
          <w:marTop w:val="0"/>
          <w:marBottom w:val="0"/>
          <w:divBdr>
            <w:top w:val="none" w:sz="0" w:space="0" w:color="auto"/>
            <w:left w:val="none" w:sz="0" w:space="0" w:color="auto"/>
            <w:bottom w:val="none" w:sz="0" w:space="0" w:color="auto"/>
            <w:right w:val="none" w:sz="0" w:space="0" w:color="auto"/>
          </w:divBdr>
        </w:div>
      </w:divsChild>
    </w:div>
    <w:div w:id="2057660250">
      <w:bodyDiv w:val="1"/>
      <w:marLeft w:val="0"/>
      <w:marRight w:val="0"/>
      <w:marTop w:val="0"/>
      <w:marBottom w:val="0"/>
      <w:divBdr>
        <w:top w:val="none" w:sz="0" w:space="0" w:color="auto"/>
        <w:left w:val="none" w:sz="0" w:space="0" w:color="auto"/>
        <w:bottom w:val="none" w:sz="0" w:space="0" w:color="auto"/>
        <w:right w:val="none" w:sz="0" w:space="0" w:color="auto"/>
      </w:divBdr>
    </w:div>
    <w:div w:id="2059166013">
      <w:bodyDiv w:val="1"/>
      <w:marLeft w:val="0"/>
      <w:marRight w:val="0"/>
      <w:marTop w:val="0"/>
      <w:marBottom w:val="0"/>
      <w:divBdr>
        <w:top w:val="none" w:sz="0" w:space="0" w:color="auto"/>
        <w:left w:val="none" w:sz="0" w:space="0" w:color="auto"/>
        <w:bottom w:val="none" w:sz="0" w:space="0" w:color="auto"/>
        <w:right w:val="none" w:sz="0" w:space="0" w:color="auto"/>
      </w:divBdr>
    </w:div>
    <w:div w:id="2118257072">
      <w:bodyDiv w:val="1"/>
      <w:marLeft w:val="0"/>
      <w:marRight w:val="0"/>
      <w:marTop w:val="0"/>
      <w:marBottom w:val="0"/>
      <w:divBdr>
        <w:top w:val="none" w:sz="0" w:space="0" w:color="auto"/>
        <w:left w:val="none" w:sz="0" w:space="0" w:color="auto"/>
        <w:bottom w:val="none" w:sz="0" w:space="0" w:color="auto"/>
        <w:right w:val="none" w:sz="0" w:space="0" w:color="auto"/>
      </w:divBdr>
    </w:div>
    <w:div w:id="212692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medicaid.gov/federal-policy-guidance/downloads/smd23003.pdf" TargetMode="External"/><Relationship Id="rId4" Type="http://schemas.openxmlformats.org/officeDocument/2006/relationships/styles" Target="styles.xml"/><Relationship Id="rId9" Type="http://schemas.openxmlformats.org/officeDocument/2006/relationships/hyperlink" Target="https://www.medicaid.gov/medicaid/section-1115-demonstrations/downloads/ca-calaim-ca1.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 M A N A T T ! 4 0 2 1 5 3 8 8 6 . 3 < / d o c u m e n t i d >  
     < s e n d e r i d > M S A V U T O < / s e n d e r i d >  
     < s e n d e r e m a i l > M S A V U T O @ M A N A T T . C O M < / s e n d e r e m a i l >  
     < l a s t m o d i f i e d > 2 0 2 3 - 0 5 - 2 2 T 1 5 : 2 6 : 0 0 . 0 0 0 0 0 0 0 - 0 4 : 0 0 < / l a s t m o d i f i e d >  
     < d a t a b a s e > M A N A T T < / 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6842A-47EF-4A58-8952-7BFD9B5E9D01}">
  <ds:schemaRefs>
    <ds:schemaRef ds:uri="http://www.imanage.com/work/xmlschema"/>
  </ds:schemaRefs>
</ds:datastoreItem>
</file>

<file path=customXml/itemProps2.xml><?xml version="1.0" encoding="utf-8"?>
<ds:datastoreItem xmlns:ds="http://schemas.openxmlformats.org/officeDocument/2006/customXml" ds:itemID="{BFD5BF8F-9BC3-4BC8-9912-F41B2EAC7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1914</Words>
  <Characters>10913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Princeton University</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Benjamin</dc:creator>
  <cp:keywords/>
  <dc:description/>
  <cp:lastModifiedBy>Rebecca Lopez</cp:lastModifiedBy>
  <cp:revision>2</cp:revision>
  <dcterms:created xsi:type="dcterms:W3CDTF">2023-05-23T20:40:00Z</dcterms:created>
  <dcterms:modified xsi:type="dcterms:W3CDTF">2023-05-23T20:40:00Z</dcterms:modified>
</cp:coreProperties>
</file>